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Кондуктометрическое титрование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Анализ смеси </w:t>
      </w:r>
      <w:r>
        <w:rPr>
          <w:rFonts w:ascii="Times New Roman" w:hAnsi="Times New Roman" w:cs="Times New Roman"/>
          <w:b/>
          <w:sz w:val="28"/>
        </w:rPr>
        <w:t xml:space="preserve">соды и щелочи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Определение основано на последовательном титровании сильной кислотой (</w:t>
      </w:r>
      <w:r>
        <w:rPr>
          <w:rFonts w:ascii="Times New Roman" w:hAnsi="Times New Roman" w:cs="Times New Roman"/>
          <w:sz w:val="28"/>
          <w:lang w:val="en-US"/>
        </w:rPr>
        <w:t xml:space="preserve">HCl</w:t>
      </w:r>
      <w:r>
        <w:rPr>
          <w:rFonts w:ascii="Times New Roman" w:hAnsi="Times New Roman" w:cs="Times New Roman"/>
          <w:sz w:val="28"/>
        </w:rPr>
        <w:t xml:space="preserve">) сильного основания (</w:t>
      </w:r>
      <w:r>
        <w:rPr>
          <w:rFonts w:ascii="Times New Roman" w:hAnsi="Times New Roman" w:cs="Times New Roman"/>
          <w:sz w:val="28"/>
          <w:lang w:val="en-US"/>
        </w:rPr>
        <w:t xml:space="preserve">NaOH</w:t>
      </w:r>
      <w:r>
        <w:rPr>
          <w:rFonts w:ascii="Times New Roman" w:hAnsi="Times New Roman" w:cs="Times New Roman"/>
          <w:sz w:val="28"/>
        </w:rPr>
        <w:t xml:space="preserve">) и </w:t>
      </w:r>
      <w:r>
        <w:rPr>
          <w:rFonts w:ascii="Times New Roman" w:hAnsi="Times New Roman" w:cs="Times New Roman"/>
          <w:sz w:val="28"/>
        </w:rPr>
        <w:t xml:space="preserve">соли </w:t>
      </w:r>
      <w:r>
        <w:rPr>
          <w:rFonts w:ascii="Times New Roman" w:hAnsi="Times New Roman" w:cs="Times New Roman"/>
          <w:sz w:val="28"/>
        </w:rPr>
        <w:t xml:space="preserve">слабой кислоты (</w:t>
      </w:r>
      <w:r>
        <w:rPr>
          <w:rFonts w:ascii="Times New Roman" w:hAnsi="Times New Roman" w:cs="Times New Roman"/>
          <w:sz w:val="28"/>
          <w:lang w:val="en-US"/>
        </w:rPr>
        <w:t xml:space="preserve">Na</w:t>
      </w:r>
      <w:r>
        <w:rPr>
          <w:rFonts w:ascii="Times New Roman" w:hAnsi="Times New Roman" w:cs="Times New Roman"/>
          <w:sz w:val="28"/>
          <w:vertAlign w:val="subscript"/>
        </w:rPr>
        <w:t xml:space="preserve">2</w:t>
      </w:r>
      <w:r>
        <w:rPr>
          <w:rFonts w:ascii="Times New Roman" w:hAnsi="Times New Roman" w:cs="Times New Roman"/>
          <w:sz w:val="28"/>
          <w:lang w:val="en-US"/>
        </w:rPr>
        <w:t xml:space="preserve">CO</w:t>
      </w:r>
      <w:r>
        <w:rPr>
          <w:rFonts w:ascii="Times New Roman" w:hAnsi="Times New Roman" w:cs="Times New Roman"/>
          <w:sz w:val="28"/>
          <w:vertAlign w:val="subscript"/>
        </w:rPr>
        <w:t xml:space="preserve">3</w:t>
      </w:r>
      <w:r>
        <w:rPr>
          <w:rFonts w:ascii="Times New Roman" w:hAnsi="Times New Roman" w:cs="Times New Roman"/>
          <w:sz w:val="28"/>
        </w:rPr>
        <w:t xml:space="preserve">). При взаимодействии с соляной кислотой сначала реагирует сильное основание, а затем более слабое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 xml:space="preserve">Na</w:t>
      </w:r>
      <w:r>
        <w:rPr>
          <w:rFonts w:ascii="Times New Roman" w:hAnsi="Times New Roman" w:cs="Times New Roman"/>
          <w:sz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lang w:val="en-US"/>
        </w:rPr>
        <w:t xml:space="preserve">CO</w:t>
      </w:r>
      <w:r>
        <w:rPr>
          <w:rFonts w:ascii="Times New Roman" w:hAnsi="Times New Roman" w:cs="Times New Roman"/>
          <w:sz w:val="28"/>
          <w:vertAlign w:val="subscript"/>
        </w:rPr>
        <w:t xml:space="preserve">3</w:t>
      </w:r>
      <w:r>
        <w:rPr>
          <w:rFonts w:ascii="Times New Roman" w:hAnsi="Times New Roman" w:cs="Times New Roman"/>
          <w:sz w:val="28"/>
        </w:rPr>
        <w:t xml:space="preserve">.</w:t>
      </w:r>
    </w:p>
    <w:p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Реактивы и аппаратура: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Кондуктометр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Весы аналитические с погрешностью 0,0002 г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Кондуктометрическая ячейка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Пипетка вместимостью 10,00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Бюретка вместимостью 25,00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Цилиндр, вместимостью </w:t>
      </w:r>
      <w:r>
        <w:rPr>
          <w:rFonts w:ascii="Times New Roman" w:hAnsi="Times New Roman"/>
          <w:sz w:val="28"/>
          <w:szCs w:val="28"/>
        </w:rPr>
        <w:t xml:space="preserve">10</w:t>
      </w:r>
      <w:r>
        <w:rPr>
          <w:rFonts w:ascii="Times New Roman" w:hAnsi="Times New Roman"/>
          <w:sz w:val="28"/>
          <w:szCs w:val="28"/>
        </w:rPr>
        <w:t xml:space="preserve">0,0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Стакан химический, вместимостью 50;100: 150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 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Раствор </w:t>
      </w:r>
      <w:r>
        <w:rPr>
          <w:rFonts w:ascii="Times New Roman" w:hAnsi="Times New Roman"/>
          <w:sz w:val="28"/>
          <w:szCs w:val="28"/>
        </w:rPr>
        <w:t xml:space="preserve">соляной кислоты с концентрацией 0,1</w:t>
      </w:r>
      <w:r>
        <w:rPr>
          <w:rFonts w:ascii="Times New Roman" w:hAnsi="Times New Roman"/>
          <w:sz w:val="28"/>
          <w:szCs w:val="28"/>
        </w:rPr>
        <w:t xml:space="preserve">н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Анализируемая проба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numPr>
          <w:numId w:val="1"/>
          <w:ilvl w:val="0"/>
        </w:numPr>
        <w:spacing w:after="0" w:line="360" w:lineRule="auto"/>
        <w:ind w:left="0" w:firstLine="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Термометр</w:t>
      </w:r>
    </w:p>
    <w:p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Выполнение работы:</w:t>
      </w:r>
    </w:p>
    <w:p>
      <w:pPr>
        <w:spacing w:after="0" w:line="360" w:lineRule="auto"/>
        <w:ind w:firstLine="709"/>
        <w:rPr>
          <w:rFonts w:ascii="Arial" w:hAnsi="Arial" w:cs="Arial"/>
          <w:color w:val="3c2e3f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Анализируют две параллельные пробы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ячейку для титрования пипеткой переносят 10,00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 анализируемой пробы, приливают 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0,0</w:t>
      </w:r>
      <w:r>
        <w:rPr>
          <w:rFonts w:ascii="Times New Roman" w:hAnsi="Times New Roman"/>
          <w:sz w:val="28"/>
          <w:szCs w:val="28"/>
        </w:rPr>
        <w:t xml:space="preserve">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 дистиллированной воды так, чтобы уровень раствора полностью</w:t>
      </w:r>
      <w:r>
        <w:rPr>
          <w:rFonts w:ascii="Times New Roman" w:hAnsi="Times New Roman"/>
          <w:sz w:val="28"/>
          <w:szCs w:val="28"/>
        </w:rPr>
        <w:t xml:space="preserve"> покрыл рабочую часть электрода</w:t>
      </w:r>
      <w:r>
        <w:rPr>
          <w:rFonts w:ascii="Times New Roman" w:hAnsi="Times New Roman"/>
          <w:sz w:val="28"/>
          <w:szCs w:val="28"/>
        </w:rPr>
        <w:t xml:space="preserve"> и при непрерывном перемешивании титруют раствором </w:t>
      </w:r>
      <w:r>
        <w:rPr>
          <w:rFonts w:ascii="Times New Roman" w:hAnsi="Times New Roman"/>
          <w:sz w:val="28"/>
          <w:szCs w:val="28"/>
        </w:rPr>
        <w:t xml:space="preserve">соляной кислоты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 xml:space="preserve">HCl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порциями по 0,50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не прекращая перемешивание.</w:t>
      </w:r>
      <w:r>
        <w:rPr>
          <w:rFonts w:ascii="Times New Roman" w:hAnsi="Times New Roman"/>
          <w:sz w:val="28"/>
          <w:szCs w:val="28"/>
        </w:rPr>
        <w:t xml:space="preserve"> Регистрируют показания прибора после введения каждой порции </w:t>
      </w:r>
      <w:r>
        <w:rPr>
          <w:rFonts w:ascii="Times New Roman" w:hAnsi="Times New Roman"/>
          <w:sz w:val="28"/>
          <w:szCs w:val="28"/>
        </w:rPr>
        <w:t xml:space="preserve">титранта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8"/>
          <w:szCs w:val="26"/>
        </w:rPr>
        <w:t xml:space="preserve">Конечная точк</w:t>
      </w:r>
      <w:r>
        <w:rPr>
          <w:rFonts w:ascii="Times New Roman" w:hAnsi="Times New Roman" w:eastAsia="Calibri" w:cs="Times New Roman"/>
          <w:sz w:val="28"/>
          <w:szCs w:val="26"/>
        </w:rPr>
        <w:t xml:space="preserve">а при титровании отвечает изломам</w:t>
      </w:r>
      <w:r>
        <w:rPr>
          <w:rFonts w:ascii="Times New Roman" w:hAnsi="Times New Roman" w:eastAsia="Calibri" w:cs="Times New Roman"/>
          <w:sz w:val="28"/>
          <w:szCs w:val="26"/>
        </w:rPr>
        <w:t xml:space="preserve"> на кривой титрования.</w:t>
      </w:r>
    </w:p>
    <w:p>
      <w:pPr>
        <w:spacing w:after="0" w:line="360" w:lineRule="auto"/>
        <w:ind w:firstLine="567"/>
        <w:rPr>
          <w:rFonts w:ascii="Times New Roman" w:hAnsi="Times New Roman" w:eastAsia="Calibri" w:cs="Times New Roman"/>
          <w:sz w:val="32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Данные занести в таблицу: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4"/>
        <w:gridCol w:w="2224"/>
        <w:gridCol w:w="2224"/>
      </w:tblGrid>
      <w:tr>
        <w:trPr/>
        <w:tc>
          <w:tcPr>
            <w:tcW w:w="2224" w:type="dxa"/>
            <w:vMerge w:val="restart"/>
            <w:noWrap w:val="false"/>
            <w:textDirection w:val="lrTb"/>
            <w:vAlign w:val="bottom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eastAsia="Calibri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 w:cs="Times New Roman"/>
                      <w:sz w:val="26"/>
                      <w:szCs w:val="26"/>
                    </w:rPr>
                    <m:t>V</m:t>
                  </m:r>
                </m:e>
                <m:sub>
                  <m:r>
                    <m:rPr/>
                    <w:rPr>
                      <w:rFonts w:ascii="Cambria Math" w:hAnsi="Cambria Math" w:eastAsia="Calibri" w:cs="Times New Roman"/>
                      <w:sz w:val="26"/>
                      <w:szCs w:val="26"/>
                    </w:rPr>
                    <m:t>HCl</m:t>
                  </m:r>
                </m:sub>
              </m:sSub>
            </m:oMath>
            <w:r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, см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vertAlign w:val="superscript"/>
              </w:rPr>
              <w:t xml:space="preserve">3</w:t>
            </w:r>
          </w:p>
        </w:tc>
        <w:tc>
          <w:tcPr>
            <w:tcW w:w="2224" w:type="dxa"/>
            <w:noWrap w:val="false"/>
            <w:textDirection w:val="lrTb"/>
          </w:tcPr>
          <w:p>
            <w:pPr>
              <w:spacing w:before="120" w:after="120" w:line="276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eastAsia="Times New Roman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Calibri" w:cs="Times New Roman"/>
                        <w:sz w:val="26"/>
                        <w:szCs w:val="26"/>
                      </w:rPr>
                      <m:t>χ</m:t>
                    </m:r>
                  </m:e>
                  <m:sub>
                    <m:r>
                      <m:rPr/>
                      <w:rPr>
                        <w:rFonts w:ascii="Cambria Math" w:hAnsi="Cambria Math" w:eastAsia="Calibri" w:cs="Times New Roman"/>
                        <w:sz w:val="26"/>
                        <w:szCs w:val="2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24" w:type="dxa"/>
            <w:noWrap w:val="false"/>
            <w:textDirection w:val="lrTb"/>
          </w:tcPr>
          <w:p>
            <w:pPr>
              <w:spacing w:before="120" w:after="120" w:line="276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eastAsia="Times New Roman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Calibri" w:cs="Times New Roman"/>
                        <w:sz w:val="26"/>
                        <w:szCs w:val="26"/>
                      </w:rPr>
                      <m:t>χ</m:t>
                    </m:r>
                  </m:e>
                  <m:sub>
                    <m:r>
                      <m:rPr/>
                      <w:rPr>
                        <w:rFonts w:ascii="Cambria Math" w:hAnsi="Cambria Math" w:eastAsia="Calibri" w:cs="Times New Roman"/>
                        <w:sz w:val="26"/>
                        <w:szCs w:val="26"/>
                      </w:rPr>
                      <m:t>2</m:t>
                    </m:r>
                  </m:sub>
                </m:sSub>
              </m:oMath>
            </m:oMathPara>
          </w:p>
        </w:tc>
      </w:tr>
      <w:tr>
        <w:trPr/>
        <w:tc>
          <w:tcPr>
            <w:tcW w:w="2224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W w:w="2224" w:type="dxa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1 проба</w:t>
            </w:r>
          </w:p>
        </w:tc>
        <w:tc>
          <w:tcPr>
            <w:tcW w:w="2224" w:type="dxa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2 проба</w:t>
            </w:r>
          </w:p>
        </w:tc>
      </w:tr>
      <w:tr>
        <w:trPr/>
        <w:tc>
          <w:tcPr>
            <w:tcW w:w="2224" w:type="dxa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W w:w="2224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W w:w="2224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</w:tr>
    </w:tbl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Строят кривую титрования в координатах удельная электропроводность – объем раствора </w:t>
      </w:r>
      <w:r>
        <w:rPr>
          <w:rFonts w:ascii="Times New Roman" w:hAnsi="Times New Roman"/>
          <w:sz w:val="28"/>
          <w:szCs w:val="28"/>
          <w:lang w:val="en-US"/>
        </w:rPr>
        <w:t xml:space="preserve">HCl</w:t>
      </w:r>
      <w:r>
        <w:rPr>
          <w:rFonts w:ascii="Times New Roman" w:hAnsi="Times New Roman"/>
          <w:sz w:val="28"/>
          <w:szCs w:val="28"/>
          <w:vertAlign w:val="subscript"/>
        </w:rPr>
        <w:t xml:space="preserve"> .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4"/>
          <w:lang w:eastAsia="ru-RU"/>
        </w:rPr>
        <w:t xml:space="preserve">используя  М</w:t>
      </w:r>
      <w:r>
        <w:rPr>
          <w:rFonts w:ascii="Times New Roman" w:hAnsi="Times New Roman" w:eastAsia="Times New Roman" w:cs="Times New Roman"/>
          <w:iCs/>
          <w:sz w:val="28"/>
          <w:szCs w:val="24"/>
          <w:lang w:val="en-US" w:eastAsia="ru-RU"/>
        </w:rPr>
        <w:t xml:space="preserve">S</w:t>
      </w:r>
      <w:r>
        <w:rPr>
          <w:rFonts w:ascii="Times New Roman" w:hAnsi="Times New Roman" w:eastAsia="Times New Roman" w:cs="Times New Roman"/>
          <w:iCs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4"/>
          <w:lang w:val="en-US" w:eastAsia="ru-RU"/>
        </w:rPr>
        <w:t xml:space="preserve">Excel</w:t>
      </w:r>
      <w:r>
        <w:rPr>
          <w:rFonts w:ascii="Times New Roman" w:hAnsi="Times New Roman" w:eastAsia="Times New Roman" w:cs="Times New Roman"/>
          <w:iCs/>
          <w:sz w:val="28"/>
          <w:szCs w:val="24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изломам</w:t>
      </w:r>
      <w:r>
        <w:rPr>
          <w:rFonts w:ascii="Times New Roman" w:hAnsi="Times New Roman"/>
          <w:sz w:val="28"/>
          <w:szCs w:val="28"/>
        </w:rPr>
        <w:t xml:space="preserve"> кривой находят объем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HCl</w:t>
      </w:r>
      <w:r>
        <w:rPr>
          <w:rFonts w:ascii="Times New Roman" w:hAnsi="Times New Roman"/>
          <w:sz w:val="28"/>
          <w:szCs w:val="28"/>
        </w:rPr>
        <w:t xml:space="preserve"> в точках эквивалентности, соответствующие</w:t>
      </w:r>
      <w:r>
        <w:rPr>
          <w:rFonts w:ascii="Times New Roman" w:hAnsi="Times New Roman"/>
          <w:sz w:val="28"/>
          <w:szCs w:val="28"/>
        </w:rPr>
        <w:t xml:space="preserve"> конечной точке титрования</w:t>
      </w:r>
      <w:r>
        <w:rPr>
          <w:rFonts w:ascii="Times New Roman" w:hAnsi="Times New Roman"/>
          <w:sz w:val="28"/>
          <w:szCs w:val="28"/>
        </w:rPr>
        <w:t xml:space="preserve"> компонентов пробы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формулам </w:t>
      </w:r>
      <w:r>
        <w:rPr>
          <w:rFonts w:ascii="Times New Roman" w:hAnsi="Times New Roman" w:cs="Times New Roman"/>
          <w:sz w:val="28"/>
          <w:szCs w:val="28"/>
        </w:rPr>
        <w:t xml:space="preserve">титриметрического анализа </w:t>
      </w:r>
      <w:r>
        <w:rPr>
          <w:rFonts w:ascii="Times New Roman" w:hAnsi="Times New Roman"/>
          <w:sz w:val="28"/>
          <w:szCs w:val="28"/>
        </w:rPr>
        <w:t xml:space="preserve">рассчитывают </w:t>
      </w:r>
      <w:r>
        <w:rPr>
          <w:rFonts w:ascii="Times New Roman" w:hAnsi="Times New Roman"/>
          <w:sz w:val="28"/>
          <w:szCs w:val="28"/>
        </w:rPr>
        <w:t xml:space="preserve">массовую концентрации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щелочи</w:t>
      </w:r>
      <w:r>
        <w:rPr>
          <w:rFonts w:ascii="Times New Roman" w:hAnsi="Times New Roman"/>
          <w:sz w:val="28"/>
          <w:szCs w:val="28"/>
        </w:rPr>
        <w:t xml:space="preserve"> и   </w:t>
      </w:r>
      <w:r>
        <w:rPr>
          <w:rFonts w:ascii="Times New Roman" w:hAnsi="Times New Roman"/>
          <w:sz w:val="28"/>
          <w:szCs w:val="28"/>
        </w:rPr>
        <w:t xml:space="preserve">карбоната натрия</w:t>
      </w:r>
      <w:r>
        <w:rPr>
          <w:rFonts w:ascii="Times New Roman" w:hAnsi="Times New Roman"/>
          <w:sz w:val="28"/>
          <w:szCs w:val="28"/>
        </w:rPr>
        <w:t xml:space="preserve"> в анализируемой пробе (г</w:t>
      </w:r>
      <w:r>
        <w:rPr>
          <w:rFonts w:ascii="Times New Roman" w:hAnsi="Times New Roman"/>
          <w:sz w:val="28"/>
          <w:szCs w:val="28"/>
        </w:rPr>
        <w:t xml:space="preserve">/дм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).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За результат определения принимаются </w:t>
      </w:r>
      <w:r>
        <w:rPr>
          <w:rFonts w:ascii="Times New Roman" w:hAnsi="Times New Roman"/>
          <w:sz w:val="28"/>
          <w:szCs w:val="28"/>
        </w:rPr>
        <w:t xml:space="preserve">среднее арифметическое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 двух определений относительное расхожден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ие между которыми не превышает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2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5 %.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Сходимость результатов анализа (r) в процентах вычисляют по формуле:</w:t>
      </w:r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4"/>
        </w:rPr>
      </w:pPr>
      <m:oMathPara>
        <m:oMathParaPr/>
        <m:oMath>
          <m:r>
            <m:rPr/>
            <w:rPr>
              <w:rFonts w:ascii="Cambria Math" w:hAnsi="Cambria Math" w:eastAsia="Calibri" w:cs="Times New Roman"/>
              <w:sz w:val="28"/>
              <w:szCs w:val="24"/>
              <w:lang w:val="en-US"/>
            </w:rPr>
            <m:t>r</m:t>
          </m:r>
          <m:r>
            <m:rPr/>
            <w:rPr>
              <w:rFonts w:ascii="Cambria Math" w:hAnsi="Cambria Math" w:eastAsia="Calibri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hAnsi="Cambria Math" w:eastAsia="Calibri" w:cs="Times New Roman"/>
                  <w:i/>
                  <w:sz w:val="28"/>
                  <w:szCs w:val="24"/>
                </w:rPr>
              </m:ctrlPr>
            </m:fPr>
            <m:den>
              <m:sSub>
                <m:sSubPr>
                  <m:ctrlPr>
                    <w:rPr>
                      <w:rFonts w:ascii="Cambria Math" w:hAnsi="Cambria Math" w:eastAsia="Calibri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Calibri" w:cs="Times New Roman"/>
                  <w:sz w:val="28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eastAsia="Calibri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2</m:t>
                  </m:r>
                </m:sub>
              </m:sSub>
            </m:den>
            <m:num>
              <m:r>
                <m:rPr/>
                <w:rPr>
                  <w:rFonts w:ascii="Cambria Math" w:hAnsi="Cambria Math" w:eastAsia="Calibri" w:cs="Times New Roman"/>
                  <w:sz w:val="28"/>
                  <w:szCs w:val="24"/>
                </w:rPr>
                <m:t>2(</m:t>
              </m:r>
              <m:sSub>
                <m:sSubPr>
                  <m:ctrlPr>
                    <w:rPr>
                      <w:rFonts w:ascii="Cambria Math" w:hAnsi="Cambria Math" w:eastAsia="Calibri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Calibri" w:cs="Times New Roman"/>
                  <w:sz w:val="28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eastAsia="Calibri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m:rPr/>
                    <w:rPr>
                      <w:rFonts w:ascii="Cambria Math" w:hAnsi="Cambria Math" w:eastAsia="Calibri" w:cs="Times New Roman"/>
                      <w:sz w:val="28"/>
                      <w:szCs w:val="24"/>
                    </w:rPr>
                    <m:t>2</m:t>
                  </m:r>
                </m:sub>
              </m:sSub>
              <m:r>
                <m:rPr/>
                <w:rPr>
                  <w:rFonts w:ascii="Cambria Math" w:hAnsi="Cambria Math" w:eastAsia="Calibri" w:cs="Times New Roman"/>
                  <w:sz w:val="28"/>
                  <w:szCs w:val="24"/>
                </w:rPr>
                <m:t>)</m:t>
              </m:r>
            </m:num>
          </m:f>
          <m:r>
            <m:rPr/>
            <w:rPr>
              <w:rFonts w:ascii="Cambria Math" w:hAnsi="Cambria Math" w:eastAsia="Calibri" w:cs="Times New Roman"/>
              <w:sz w:val="28"/>
              <w:szCs w:val="24"/>
            </w:rPr>
            <m:t>*100</m:t>
          </m:r>
        </m:oMath>
      </m:oMathPara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где: Х</w:t>
      </w:r>
      <w:r>
        <w:rPr>
          <w:rFonts w:ascii="Times New Roman" w:hAnsi="Times New Roman" w:eastAsia="Times New Roman" w:cs="Times New Roman"/>
          <w:sz w:val="28"/>
          <w:szCs w:val="24"/>
          <w:vertAlign w:val="sub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- больший результат из двух параллельных измерений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Х</w:t>
      </w:r>
      <w:r>
        <w:rPr>
          <w:rFonts w:ascii="Times New Roman" w:hAnsi="Times New Roman" w:eastAsia="Times New Roman" w:cs="Times New Roman"/>
          <w:sz w:val="28"/>
          <w:szCs w:val="24"/>
          <w:vertAlign w:val="sub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- меньший результат из двух параллельных измерений.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Результат измерения представить в виде</w:t>
      </w:r>
    </w:p>
    <w:p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x̅ ± </w:t>
      </w:r>
      <w:r>
        <w:rPr>
          <w:rFonts w:ascii="Times New Roman" w:hAnsi="Times New Roman" w:eastAsia="Calibri" w:cs="Times New Roman"/>
          <w:sz w:val="28"/>
          <w:szCs w:val="28"/>
        </w:rPr>
        <w:t xml:space="preserve">∆,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</w:t>
      </w:r>
      <w:r>
        <w:rPr>
          <w:rFonts w:ascii="Times New Roman" w:hAnsi="Times New Roman" w:eastAsia="Calibri" w:cs="Times New Roman"/>
          <w:sz w:val="28"/>
          <w:szCs w:val="28"/>
        </w:rPr>
        <w:t xml:space="preserve">/дм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при доверительной вероятности Р=0,95</w:t>
      </w:r>
    </w:p>
    <w:p>
      <w:pPr>
        <w:spacing w:after="0" w:line="360" w:lineRule="auto"/>
        <w:ind w:firstLine="141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∆= x̅</w:t>
      </w:r>
      <w:r>
        <w:rPr>
          <w:rFonts w:ascii="Times New Roman" w:hAnsi="Times New Roman" w:eastAsia="Calibri" w:cs="Times New Roman"/>
          <w:sz w:val="28"/>
          <w:szCs w:val="28"/>
        </w:rPr>
        <w:t xml:space="preserve"> *0,25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  <w:t xml:space="preserve">Результаты округляют в соответствии с ГОСТ Р 8.736-2011 </w:t>
      </w:r>
      <w:r>
        <w:rPr>
          <w:rFonts w:ascii="Times New Roman" w:hAnsi="Times New Roman"/>
          <w:spacing w:val="2"/>
          <w:sz w:val="28"/>
        </w:rPr>
        <w:t xml:space="preserve">Государственная система обеспечения единства измерений. Методы обработки результатов измерений. Основные положения. </w:t>
      </w:r>
      <w:bookmarkStart w:id="1" w:name="_Hlk100676579"/>
      <w:r>
        <w:rPr>
          <w:rFonts w:ascii="Times New Roman" w:hAnsi="Times New Roman" w:eastAsia="Calibri" w:cs="Times New Roman"/>
          <w:spacing w:val="2"/>
          <w:sz w:val="28"/>
        </w:rPr>
        <w:t xml:space="preserve">Приложение Е</w:t>
      </w:r>
      <w:bookmarkEnd w:id="1"/>
      <w:r>
        <w:rPr>
          <w:rFonts w:ascii="Times New Roman" w:hAnsi="Times New Roman" w:eastAsia="Calibri" w:cs="Times New Roman"/>
          <w:spacing w:val="2"/>
          <w:sz w:val="28"/>
        </w:rPr>
        <w:t xml:space="preserve">.</w:t>
      </w:r>
    </w:p>
    <w:p>
      <w:pPr>
        <w:spacing w:line="360" w:lineRule="auto"/>
        <w:jc w:val="both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</w:r>
    </w:p>
    <w:p>
      <w:pPr>
        <w:spacing w:line="360" w:lineRule="auto"/>
        <w:jc w:val="both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</w:r>
    </w:p>
    <w:p>
      <w:pPr>
        <w:spacing w:line="360" w:lineRule="auto"/>
        <w:jc w:val="both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</w:r>
    </w:p>
    <w:p>
      <w:pPr>
        <w:spacing w:line="360" w:lineRule="auto"/>
        <w:jc w:val="both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</w:r>
    </w:p>
    <w:p>
      <w:pPr>
        <w:spacing w:line="360" w:lineRule="auto"/>
        <w:jc w:val="both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</w:r>
    </w:p>
    <w:p>
      <w:pPr>
        <w:jc w:val="right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</w:r>
    </w:p>
    <w:p>
      <w:pPr>
        <w:jc w:val="right"/>
        <w:rPr>
          <w:rFonts w:ascii="Times New Roman" w:hAnsi="Times New Roman" w:eastAsia="Calibri" w:cs="Times New Roman"/>
          <w:spacing w:val="2"/>
          <w:sz w:val="28"/>
        </w:rPr>
      </w:pPr>
      <w:r>
        <w:rPr>
          <w:rFonts w:ascii="Times New Roman" w:hAnsi="Times New Roman" w:eastAsia="Calibri" w:cs="Times New Roman"/>
          <w:spacing w:val="2"/>
          <w:sz w:val="28"/>
        </w:rPr>
        <w:t xml:space="preserve">Прило</w:t>
      </w:r>
      <w:r>
        <w:rPr>
          <w:rFonts w:ascii="Times New Roman" w:hAnsi="Times New Roman" w:eastAsia="Calibri" w:cs="Times New Roman"/>
          <w:spacing w:val="2"/>
          <w:sz w:val="28"/>
        </w:rPr>
        <w:t xml:space="preserve">жение Е</w:t>
      </w: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Style w:val="61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Правила округления при обработке результатов измерений</w:t>
      </w:r>
    </w:p>
    <w:p>
      <w:pPr>
        <w:pStyle w:val="61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>
      <w:pPr>
        <w:pStyle w:val="61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Е.2 Погрешность оценки измеряемой величины следует выражать не более чем двумя значащими цифрами</w:t>
      </w:r>
    </w:p>
    <w:p>
      <w:pPr>
        <w:pStyle w:val="61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Две значащие цифры в погрешности оценки измеряемой величины сохраняют:</w:t>
      </w:r>
    </w:p>
    <w:p>
      <w:pPr>
        <w:pStyle w:val="61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точных измерениях;</w:t>
      </w:r>
    </w:p>
    <w:p>
      <w:pPr>
        <w:pStyle w:val="61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первая значащая цифра не более трех.</w:t>
      </w:r>
    </w:p>
    <w:p>
      <w:pPr>
        <w:pStyle w:val="61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>
      <w:pPr>
        <w:pStyle w:val="61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Сохраняемую, значащую цифру в погрешности оценки измеряемой величины при округлении увеличивают на единицу, если отбрасываемая цифра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указываемого младшего разряда больше либо равна пяти, и не изменяют, если она меньше пяти.</w:t>
      </w:r>
    </w:p>
    <w:p/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6"/>
    <w:next w:val="606"/>
    <w:link w:val="1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7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6"/>
    <w:next w:val="606"/>
    <w:link w:val="1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7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6"/>
    <w:next w:val="606"/>
    <w:link w:val="1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7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6"/>
    <w:next w:val="606"/>
    <w:link w:val="1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6"/>
    <w:next w:val="606"/>
    <w:link w:val="2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6"/>
    <w:next w:val="606"/>
    <w:link w:val="2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6"/>
    <w:next w:val="606"/>
    <w:link w:val="2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6"/>
    <w:next w:val="606"/>
    <w:link w:val="2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6"/>
    <w:next w:val="606"/>
    <w:link w:val="2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6"/>
    <w:next w:val="606"/>
    <w:link w:val="3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4">
    <w:name w:val="Title Char"/>
    <w:basedOn w:val="607"/>
    <w:link w:val="33"/>
    <w:uiPriority w:val="10"/>
    <w:rPr>
      <w:sz w:val="48"/>
      <w:szCs w:val="48"/>
    </w:rPr>
  </w:style>
  <w:style w:type="paragraph" w:styleId="35">
    <w:name w:val="Subtitle"/>
    <w:basedOn w:val="606"/>
    <w:next w:val="606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7"/>
    <w:link w:val="35"/>
    <w:uiPriority w:val="11"/>
    <w:rPr>
      <w:sz w:val="24"/>
      <w:szCs w:val="24"/>
    </w:rPr>
  </w:style>
  <w:style w:type="paragraph" w:styleId="37">
    <w:name w:val="Quote"/>
    <w:basedOn w:val="606"/>
    <w:next w:val="606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6"/>
    <w:next w:val="606"/>
    <w:link w:val="4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6"/>
    <w:link w:val="42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2">
    <w:name w:val="Header Char"/>
    <w:basedOn w:val="607"/>
    <w:link w:val="41"/>
    <w:uiPriority w:val="99"/>
  </w:style>
  <w:style w:type="paragraph" w:styleId="43">
    <w:name w:val="Footer"/>
    <w:basedOn w:val="606"/>
    <w:link w:val="4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4">
    <w:name w:val="Footer Char"/>
    <w:basedOn w:val="607"/>
    <w:link w:val="43"/>
    <w:uiPriority w:val="99"/>
  </w:style>
  <w:style w:type="paragraph" w:styleId="45">
    <w:name w:val="Caption"/>
    <w:basedOn w:val="606"/>
    <w:next w:val="6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4">
    <w:name w:val="Grid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3">
    <w:name w:val="Grid Table 5 Dark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84">
    <w:name w:val="Grid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5">
    <w:name w:val="Grid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6">
    <w:name w:val="Grid Table 5 Dark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7">
    <w:name w:val="Grid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88">
    <w:name w:val="Grid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89">
    <w:name w:val="Grid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7">
    <w:name w:val="Grid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List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6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7"/>
    <w:uiPriority w:val="99"/>
    <w:unhideWhenUsed/>
    <w:rPr>
      <w:vertAlign w:val="superscript"/>
    </w:rPr>
  </w:style>
  <w:style w:type="paragraph" w:styleId="177">
    <w:name w:val="endnote text"/>
    <w:basedOn w:val="606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7"/>
    <w:uiPriority w:val="99"/>
    <w:semiHidden/>
    <w:unhideWhenUsed/>
    <w:rPr>
      <w:vertAlign w:val="superscript"/>
    </w:rPr>
  </w:style>
  <w:style w:type="paragraph" w:styleId="180">
    <w:name w:val="toc 1"/>
    <w:basedOn w:val="606"/>
    <w:next w:val="606"/>
    <w:uiPriority w:val="39"/>
    <w:unhideWhenUsed/>
    <w:pPr>
      <w:spacing w:after="57"/>
      <w:ind w:left="0" w:right="0" w:firstLine="0"/>
    </w:pPr>
  </w:style>
  <w:style w:type="paragraph" w:styleId="181">
    <w:name w:val="toc 2"/>
    <w:basedOn w:val="606"/>
    <w:next w:val="606"/>
    <w:uiPriority w:val="39"/>
    <w:unhideWhenUsed/>
    <w:pPr>
      <w:spacing w:after="57"/>
      <w:ind w:left="283" w:right="0" w:firstLine="0"/>
    </w:pPr>
  </w:style>
  <w:style w:type="paragraph" w:styleId="182">
    <w:name w:val="toc 3"/>
    <w:basedOn w:val="606"/>
    <w:next w:val="606"/>
    <w:uiPriority w:val="39"/>
    <w:unhideWhenUsed/>
    <w:pPr>
      <w:spacing w:after="57"/>
      <w:ind w:left="567" w:right="0" w:firstLine="0"/>
    </w:pPr>
  </w:style>
  <w:style w:type="paragraph" w:styleId="183">
    <w:name w:val="toc 4"/>
    <w:basedOn w:val="606"/>
    <w:next w:val="606"/>
    <w:uiPriority w:val="39"/>
    <w:unhideWhenUsed/>
    <w:pPr>
      <w:spacing w:after="57"/>
      <w:ind w:left="850" w:right="0" w:firstLine="0"/>
    </w:pPr>
  </w:style>
  <w:style w:type="paragraph" w:styleId="184">
    <w:name w:val="toc 5"/>
    <w:basedOn w:val="606"/>
    <w:next w:val="606"/>
    <w:uiPriority w:val="39"/>
    <w:unhideWhenUsed/>
    <w:pPr>
      <w:spacing w:after="57"/>
      <w:ind w:left="1134" w:right="0" w:firstLine="0"/>
    </w:pPr>
  </w:style>
  <w:style w:type="paragraph" w:styleId="185">
    <w:name w:val="toc 6"/>
    <w:basedOn w:val="606"/>
    <w:next w:val="606"/>
    <w:uiPriority w:val="39"/>
    <w:unhideWhenUsed/>
    <w:pPr>
      <w:spacing w:after="57"/>
      <w:ind w:left="1417" w:right="0" w:firstLine="0"/>
    </w:pPr>
  </w:style>
  <w:style w:type="paragraph" w:styleId="186">
    <w:name w:val="toc 7"/>
    <w:basedOn w:val="606"/>
    <w:next w:val="606"/>
    <w:uiPriority w:val="39"/>
    <w:unhideWhenUsed/>
    <w:pPr>
      <w:spacing w:after="57"/>
      <w:ind w:left="1701" w:right="0" w:firstLine="0"/>
    </w:pPr>
  </w:style>
  <w:style w:type="paragraph" w:styleId="187">
    <w:name w:val="toc 8"/>
    <w:basedOn w:val="606"/>
    <w:next w:val="606"/>
    <w:uiPriority w:val="39"/>
    <w:unhideWhenUsed/>
    <w:pPr>
      <w:spacing w:after="57"/>
      <w:ind w:left="1984" w:right="0" w:firstLine="0"/>
    </w:pPr>
  </w:style>
  <w:style w:type="paragraph" w:styleId="188">
    <w:name w:val="toc 9"/>
    <w:basedOn w:val="606"/>
    <w:next w:val="606"/>
    <w:uiPriority w:val="39"/>
    <w:unhideWhenUsed/>
    <w:pPr>
      <w:spacing w:after="57"/>
      <w:ind w:left="2268" w:right="0" w:firstLine="0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6"/>
    <w:next w:val="606"/>
    <w:uiPriority w:val="99"/>
    <w:unhideWhenUsed/>
    <w:pPr>
      <w:spacing w:after="0" w:afterAutospacing="0"/>
    </w:pPr>
  </w:style>
  <w:style w:type="paragraph" w:styleId="606" w:default="1">
    <w:name w:val="Normal"/>
    <w:qFormat/>
  </w:style>
  <w:style w:type="character" w:styleId="607" w:default="1">
    <w:name w:val="Default Paragraph Font"/>
    <w:uiPriority w:val="1"/>
    <w:semiHidden/>
    <w:unhideWhenUsed/>
  </w:style>
  <w:style w:type="table" w:styleId="6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9" w:default="1">
    <w:name w:val="No List"/>
    <w:uiPriority w:val="99"/>
    <w:semiHidden/>
    <w:unhideWhenUsed/>
  </w:style>
  <w:style w:type="paragraph" w:styleId="610">
    <w:name w:val="List Paragraph"/>
    <w:basedOn w:val="606"/>
    <w:uiPriority w:val="34"/>
    <w:qFormat/>
    <w:pPr>
      <w:ind w:left="720"/>
      <w:contextualSpacing/>
    </w:pPr>
  </w:style>
  <w:style w:type="table" w:styleId="611">
    <w:name w:val="Table Grid"/>
    <w:basedOn w:val="608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12" w:customStyle="1">
    <w:name w:val="Абзац списка1"/>
    <w:basedOn w:val="606"/>
    <w:pPr>
      <w:spacing w:after="200" w:line="276" w:lineRule="auto"/>
      <w:ind w:left="720"/>
      <w:contextualSpacing/>
    </w:pPr>
    <w:rPr>
      <w:rFonts w:ascii="Calibri" w:hAnsi="Calibri" w:eastAsia="Times New Roman" w:cs="Times New Roman"/>
      <w:lang w:eastAsia="ru-RU"/>
    </w:rPr>
  </w:style>
  <w:style w:type="paragraph" w:styleId="613">
    <w:name w:val="Balloon Text"/>
    <w:basedOn w:val="606"/>
    <w:link w:val="61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14" w:customStyle="1">
    <w:name w:val="Текст выноски Знак"/>
    <w:basedOn w:val="607"/>
    <w:link w:val="613"/>
    <w:uiPriority w:val="99"/>
    <w:semiHidden/>
    <w:rPr>
      <w:rFonts w:ascii="Segoe UI" w:hAnsi="Segoe UI" w:cs="Segoe UI"/>
      <w:sz w:val="18"/>
      <w:szCs w:val="18"/>
    </w:rPr>
  </w:style>
  <w:style w:type="character" w:styleId="615">
    <w:name w:val="Placeholder Text"/>
    <w:basedOn w:val="607"/>
    <w:uiPriority w:val="99"/>
    <w:semiHidden/>
    <w:rPr>
      <w:color w:val="808080"/>
    </w:rPr>
  </w:style>
  <w:style w:type="paragraph" w:styleId="616" w:customStyle="1">
    <w:name w:val="headertext"/>
    <w:basedOn w:val="60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17" w:customStyle="1">
    <w:name w:val="formattext"/>
    <w:basedOn w:val="60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B6861-2CCE-4E5A-96F0-BF8BC2B0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lidiya Novokshonova</cp:lastModifiedBy>
  <cp:revision>3</cp:revision>
  <dcterms:created xsi:type="dcterms:W3CDTF">2023-02-13T04:46:00Z</dcterms:created>
  <dcterms:modified xsi:type="dcterms:W3CDTF">2023-02-20T06:40:16Z</dcterms:modified>
</cp:coreProperties>
</file>