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sdt>
      <w:sdtPr>
        <w15:appearance w15:val="boundingBox"/>
        <w:id w:val="326794676"/>
        <w:docPartObj>
          <w:docPartGallery w:val="Cover Pages"/>
          <w:docPartUnique w:val="true"/>
        </w:docPartObj>
        <w:rPr>
          <w:rFonts w:ascii="Times New Roman" w:hAnsi="Times New Roman" w:cs="Times New Roman"/>
        </w:rPr>
      </w:sdtPr>
      <w:sdtContent>
        <w:p>
          <w:pPr>
            <w:jc w:val="right"/>
            <w:spacing w:after="0" w:line="36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</w:r>
          <w:r/>
        </w:p>
        <w:p>
          <w:pPr>
            <w:jc w:val="right"/>
            <w:spacing w:after="0" w:line="36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</w:r>
          <w:r/>
        </w:p>
        <w:p>
          <w:pPr>
            <w:jc w:val="right"/>
            <w:spacing w:after="0" w:line="36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</w:r>
          <w:r/>
        </w:p>
        <w:p>
          <w:pPr>
            <w:jc w:val="right"/>
            <w:spacing w:after="0" w:line="36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</w:r>
          <w:r/>
        </w:p>
        <w:p>
          <w:pPr>
            <w:jc w:val="right"/>
            <w:spacing w:after="0" w:line="360" w:lineRule="auto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/>
        </w:p>
        <w:p>
          <w:pPr>
            <w:jc w:val="center"/>
            <w:spacing w:after="0" w:line="276" w:lineRule="auto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  <w:t xml:space="preserve">КОНКУРСНОЕ ЗАДАНИЕ КОМПЕТЕНЦИИ</w:t>
          </w:r>
          <w:r/>
        </w:p>
        <w:p>
          <w:pPr>
            <w:jc w:val="center"/>
            <w:spacing w:after="0" w:line="276" w:lineRule="auto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  <w:t xml:space="preserve">«ЛАБОРАТОРНЫЙ ХИМИЧЕСКИЙ АНАЛИЗ»</w:t>
          </w:r>
          <w:r/>
        </w:p>
        <w:p>
          <w:pPr>
            <w:jc w:val="center"/>
            <w:spacing w:after="0" w:line="360" w:lineRule="auto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/>
        </w:p>
        <w:p>
          <w:pPr>
            <w:jc w:val="center"/>
            <w:spacing w:after="0" w:line="360" w:lineRule="auto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/>
        </w:p>
        <w:p>
          <w:pPr>
            <w:jc w:val="center"/>
            <w:spacing w:after="0" w:line="360" w:lineRule="auto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/>
        </w:p>
      </w:sdtContent>
    </w:sdt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highlight w:val="none"/>
          <w:lang w:bidi="en-US"/>
        </w:rPr>
      </w:r>
      <w:r>
        <w:rPr>
          <w:rFonts w:ascii="Times New Roman" w:hAnsi="Times New Roman" w:cs="Times New Roman"/>
          <w:highlight w:val="none"/>
          <w:lang w:bidi="en-US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highlight w:val="none"/>
          <w:lang w:bidi="en-US"/>
        </w:rPr>
      </w:pPr>
      <w:r>
        <w:rPr>
          <w:rFonts w:ascii="Times New Roman" w:hAnsi="Times New Roman" w:cs="Times New Roman"/>
          <w:lang w:bidi="en-US"/>
        </w:rPr>
        <w:t xml:space="preserve">2023</w:t>
      </w:r>
      <w:r>
        <w:rPr>
          <w:rFonts w:ascii="Times New Roman" w:hAnsi="Times New Roman" w:cs="Times New Roman"/>
          <w:lang w:bidi="en-US"/>
        </w:rPr>
        <w:t xml:space="preserve">г.</w:t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highlight w:val="none"/>
          <w:lang w:bidi="en-US"/>
        </w:rPr>
      </w:pPr>
      <w:r>
        <w:rPr>
          <w:rFonts w:ascii="Times New Roman" w:hAnsi="Times New Roman" w:cs="Times New Roman"/>
          <w:highlight w:val="none"/>
          <w:lang w:bidi="en-US"/>
        </w:rPr>
      </w:r>
      <w:r>
        <w:rPr>
          <w:rFonts w:ascii="Times New Roman" w:hAnsi="Times New Roman" w:cs="Times New Roman"/>
          <w:highlight w:val="none"/>
          <w:lang w:bidi="en-US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highlight w:val="none"/>
          <w:lang w:bidi="en-US"/>
        </w:rPr>
      </w:pPr>
      <w:r>
        <w:rPr>
          <w:rFonts w:ascii="Times New Roman" w:hAnsi="Times New Roman" w:cs="Times New Roman"/>
          <w:highlight w:val="none"/>
          <w:lang w:bidi="en-US"/>
        </w:rPr>
      </w:r>
      <w:r>
        <w:rPr>
          <w:rFonts w:ascii="Times New Roman" w:hAnsi="Times New Roman" w:cs="Times New Roman"/>
          <w:highlight w:val="none"/>
          <w:lang w:bidi="en-US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highlight w:val="none"/>
          <w:lang w:bidi="en-US"/>
        </w:rPr>
      </w:pPr>
      <w:r>
        <w:rPr>
          <w:rFonts w:ascii="Times New Roman" w:hAnsi="Times New Roman" w:cs="Times New Roman"/>
          <w:highlight w:val="none"/>
          <w:lang w:bidi="en-US"/>
        </w:rPr>
      </w:r>
      <w:r>
        <w:rPr>
          <w:rFonts w:ascii="Times New Roman" w:hAnsi="Times New Roman" w:cs="Times New Roman"/>
          <w:highlight w:val="none"/>
          <w:lang w:bidi="en-US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highlight w:val="none"/>
          <w:lang w:bidi="en-US"/>
        </w:rPr>
      </w:pPr>
      <w:r>
        <w:rPr>
          <w:rFonts w:ascii="Times New Roman" w:hAnsi="Times New Roman" w:cs="Times New Roman"/>
          <w:highlight w:val="none"/>
          <w:lang w:bidi="en-US"/>
        </w:rPr>
      </w:r>
      <w:r>
        <w:rPr>
          <w:rFonts w:ascii="Times New Roman" w:hAnsi="Times New Roman" w:cs="Times New Roman"/>
          <w:highlight w:val="none"/>
          <w:lang w:bidi="en-US"/>
        </w:rPr>
      </w:r>
    </w:p>
    <w:p>
      <w:pPr>
        <w:pStyle w:val="974"/>
        <w:ind w:firstLine="709"/>
        <w:jc w:val="both"/>
        <w:spacing w:line="276" w:lineRule="auto"/>
        <w:shd w:val="clear" w:color="auto" w:fill="auto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Конкурсное задание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Менеджером компетенции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 навыками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профессиональному мастерству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.</w:t>
      </w:r>
      <w:r/>
    </w:p>
    <w:p>
      <w:pPr>
        <w:pStyle w:val="974"/>
        <w:ind w:firstLine="0"/>
        <w:spacing w:line="360" w:lineRule="auto"/>
        <w:shd w:val="clear" w:color="auto" w:fill="auto"/>
        <w:rPr>
          <w:rFonts w:ascii="Times New Roman" w:hAnsi="Times New Roman" w:eastAsia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</w:r>
      <w:r/>
    </w:p>
    <w:p>
      <w:pPr>
        <w:pStyle w:val="928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Конкурсное задание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  <w:r/>
    </w:p>
    <w:p>
      <w:pPr>
        <w:pStyle w:val="926"/>
        <w:jc w:val="both"/>
        <w:tabs>
          <w:tab w:val="left" w:pos="440" w:leader="none"/>
        </w:tabs>
        <w:rPr>
          <w:rFonts w:ascii="Times New Roman" w:hAnsi="Times New Roman" w:eastAsiaTheme="minorEastAsia"/>
          <w:sz w:val="28"/>
          <w:lang w:val="ru-RU" w:eastAsia="ru-RU"/>
        </w:rPr>
      </w:pPr>
      <w:r>
        <w:rPr>
          <w:rFonts w:ascii="Times New Roman" w:hAnsi="Times New Roman"/>
          <w:sz w:val="28"/>
          <w:lang w:val="ru-RU" w:eastAsia="ru-RU"/>
        </w:rPr>
        <w:fldChar w:fldCharType="begin"/>
      </w:r>
      <w:r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 w:val="28"/>
          <w:lang w:val="ru-RU" w:eastAsia="ru-RU"/>
        </w:rPr>
        <w:fldChar w:fldCharType="separate"/>
      </w:r>
      <w:hyperlink w:tooltip="#_Toc126930845" w:anchor="_Toc126930845" w:history="1">
        <w:r>
          <w:rPr>
            <w:rStyle w:val="924"/>
            <w:rFonts w:ascii="Times New Roman" w:hAnsi="Times New Roman"/>
            <w:sz w:val="28"/>
          </w:rPr>
          <w:t xml:space="preserve">1.</w:t>
        </w:r>
        <w:r>
          <w:rPr>
            <w:rFonts w:ascii="Times New Roman" w:hAnsi="Times New Roman" w:eastAsiaTheme="minorEastAsia"/>
            <w:sz w:val="28"/>
            <w:lang w:val="ru-RU" w:eastAsia="ru-RU"/>
          </w:rPr>
          <w:tab/>
        </w:r>
        <w:r>
          <w:rPr>
            <w:rStyle w:val="924"/>
            <w:rFonts w:ascii="Times New Roman" w:hAnsi="Times New Roman"/>
            <w:sz w:val="28"/>
          </w:rPr>
          <w:t xml:space="preserve">ОСНОВНЫЕ ТРЕБОВАНИЯ КОМПЕТЕНЦИИ</w:t>
        </w:r>
        <w:r>
          <w:rPr>
            <w:rFonts w:ascii="Times New Roman" w:hAnsi="Times New Roman"/>
            <w:sz w:val="28"/>
          </w:rPr>
          <w:tab/>
        </w:r>
        <w:r>
          <w:rPr>
            <w:rFonts w:ascii="Times New Roman" w:hAnsi="Times New Roman"/>
            <w:sz w:val="28"/>
          </w:rPr>
          <w:fldChar w:fldCharType="begin"/>
        </w:r>
        <w:r>
          <w:rPr>
            <w:rFonts w:ascii="Times New Roman" w:hAnsi="Times New Roman"/>
            <w:sz w:val="28"/>
          </w:rPr>
          <w:instrText xml:space="preserve"> PAGEREF _Toc126930845 \h </w:instrText>
        </w:r>
        <w:r>
          <w:rPr>
            <w:rFonts w:ascii="Times New Roman" w:hAnsi="Times New Roman"/>
            <w:sz w:val="28"/>
          </w:rPr>
        </w:r>
        <w:r>
          <w:rPr>
            <w:rFonts w:ascii="Times New Roman" w:hAnsi="Times New Roman"/>
            <w:sz w:val="28"/>
          </w:rPr>
          <w:fldChar w:fldCharType="separate"/>
        </w:r>
        <w:r>
          <w:rPr>
            <w:rFonts w:ascii="Times New Roman" w:hAnsi="Times New Roman"/>
            <w:sz w:val="28"/>
          </w:rPr>
          <w:t xml:space="preserve">4</w:t>
        </w:r>
        <w:r>
          <w:rPr>
            <w:rFonts w:ascii="Times New Roman" w:hAnsi="Times New Roman"/>
            <w:sz w:val="28"/>
          </w:rPr>
          <w:fldChar w:fldCharType="end"/>
        </w:r>
      </w:hyperlink>
      <w:r/>
      <w:r/>
    </w:p>
    <w:p>
      <w:pPr>
        <w:pStyle w:val="951"/>
        <w:ind w:firstLine="709"/>
        <w:rPr>
          <w:rFonts w:eastAsiaTheme="minorEastAsia"/>
          <w:sz w:val="28"/>
          <w:szCs w:val="28"/>
        </w:rPr>
      </w:pPr>
      <w:r/>
      <w:hyperlink w:tooltip="#_Toc126930846" w:anchor="_Toc126930846" w:history="1">
        <w:r>
          <w:rPr>
            <w:rStyle w:val="924"/>
            <w:sz w:val="28"/>
            <w:szCs w:val="28"/>
          </w:rPr>
          <w:t xml:space="preserve">1.1. ОБЩИЕ СВЕДЕНИЯ О ТРЕБОВАНИЯХ КОМПЕТЕНЦИИ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_Toc126930846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4</w:t>
        </w:r>
        <w:r>
          <w:rPr>
            <w:sz w:val="28"/>
            <w:szCs w:val="28"/>
          </w:rPr>
          <w:fldChar w:fldCharType="end"/>
        </w:r>
      </w:hyperlink>
      <w:r/>
      <w:r/>
    </w:p>
    <w:p>
      <w:pPr>
        <w:pStyle w:val="951"/>
        <w:ind w:firstLine="709"/>
        <w:rPr>
          <w:rFonts w:eastAsiaTheme="minorEastAsia"/>
          <w:sz w:val="28"/>
          <w:szCs w:val="28"/>
        </w:rPr>
      </w:pPr>
      <w:r/>
      <w:hyperlink w:tooltip="#_Toc126930847" w:anchor="_Toc126930847" w:history="1">
        <w:r>
          <w:rPr>
            <w:rStyle w:val="924"/>
            <w:sz w:val="28"/>
            <w:szCs w:val="28"/>
          </w:rPr>
          <w:t xml:space="preserve">1.2. ПЕРЕЧЕНЬ ПРОФЕССИОНАЛЬНЫХ ЗАДАЧ СПЕЦИАЛИСТА ПО КОМПЕТЕНЦИИ «Лабораторный химический анализ»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_Toc126930847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4</w:t>
        </w:r>
        <w:r>
          <w:rPr>
            <w:sz w:val="28"/>
            <w:szCs w:val="28"/>
          </w:rPr>
          <w:fldChar w:fldCharType="end"/>
        </w:r>
      </w:hyperlink>
      <w:r/>
      <w:r/>
    </w:p>
    <w:p>
      <w:pPr>
        <w:pStyle w:val="951"/>
        <w:ind w:firstLine="709"/>
        <w:rPr>
          <w:rFonts w:eastAsiaTheme="minorEastAsia"/>
          <w:sz w:val="28"/>
          <w:szCs w:val="28"/>
        </w:rPr>
      </w:pPr>
      <w:r/>
      <w:hyperlink w:tooltip="#_Toc126930848" w:anchor="_Toc126930848" w:history="1">
        <w:r>
          <w:rPr>
            <w:rStyle w:val="924"/>
            <w:sz w:val="28"/>
            <w:szCs w:val="28"/>
          </w:rPr>
          <w:t xml:space="preserve">1.3. ТРЕБОВАНИЯ К СХЕМЕ ОЦЕНКИ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_Toc126930848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9</w:t>
        </w:r>
        <w:r>
          <w:rPr>
            <w:sz w:val="28"/>
            <w:szCs w:val="28"/>
          </w:rPr>
          <w:fldChar w:fldCharType="end"/>
        </w:r>
      </w:hyperlink>
      <w:r/>
      <w:r/>
    </w:p>
    <w:p>
      <w:pPr>
        <w:pStyle w:val="951"/>
        <w:ind w:firstLine="709"/>
        <w:rPr>
          <w:rFonts w:eastAsiaTheme="minorEastAsia"/>
          <w:sz w:val="28"/>
          <w:szCs w:val="28"/>
        </w:rPr>
      </w:pPr>
      <w:r/>
      <w:hyperlink w:tooltip="#_Toc126930849" w:anchor="_Toc126930849" w:history="1">
        <w:r>
          <w:rPr>
            <w:rStyle w:val="924"/>
            <w:sz w:val="28"/>
            <w:szCs w:val="28"/>
          </w:rPr>
          <w:t xml:space="preserve">1.4. СПЕЦИФИКАЦИЯ ОЦЕНКИ КОМПЕТЕНЦИИ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_Toc126930849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9</w:t>
        </w:r>
        <w:r>
          <w:rPr>
            <w:sz w:val="28"/>
            <w:szCs w:val="28"/>
          </w:rPr>
          <w:fldChar w:fldCharType="end"/>
        </w:r>
      </w:hyperlink>
      <w:r/>
      <w:r/>
    </w:p>
    <w:p>
      <w:pPr>
        <w:pStyle w:val="951"/>
        <w:ind w:firstLine="709"/>
        <w:rPr>
          <w:rFonts w:eastAsiaTheme="minorEastAsia"/>
          <w:sz w:val="28"/>
          <w:szCs w:val="28"/>
        </w:rPr>
      </w:pPr>
      <w:r/>
      <w:hyperlink w:tooltip="#_Toc126930850" w:anchor="_Toc126930850" w:history="1">
        <w:r>
          <w:rPr>
            <w:rStyle w:val="924"/>
            <w:sz w:val="28"/>
            <w:szCs w:val="28"/>
          </w:rPr>
          <w:t xml:space="preserve">1.5. КОНКУРСНОЕ ЗАДАНИЕ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_Toc126930850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10</w:t>
        </w:r>
        <w:r>
          <w:rPr>
            <w:sz w:val="28"/>
            <w:szCs w:val="28"/>
          </w:rPr>
          <w:fldChar w:fldCharType="end"/>
        </w:r>
      </w:hyperlink>
      <w:r/>
      <w:r/>
    </w:p>
    <w:p>
      <w:pPr>
        <w:pStyle w:val="951"/>
        <w:ind w:firstLine="1134"/>
        <w:rPr>
          <w:rFonts w:eastAsiaTheme="minorEastAsia"/>
          <w:sz w:val="28"/>
          <w:szCs w:val="28"/>
        </w:rPr>
      </w:pPr>
      <w:r/>
      <w:hyperlink w:tooltip="#_Toc126930851" w:anchor="_Toc126930851" w:history="1">
        <w:r>
          <w:rPr>
            <w:rStyle w:val="924"/>
            <w:sz w:val="28"/>
            <w:szCs w:val="28"/>
          </w:rPr>
          <w:t xml:space="preserve">1.5.1. Разработка/выбор конкурсного задания (ссылка на ЯндексДиск с матрицей, заполненной в </w:t>
        </w:r>
        <w:r>
          <w:rPr>
            <w:rStyle w:val="924"/>
            <w:sz w:val="28"/>
            <w:szCs w:val="28"/>
            <w:lang w:val="en-US"/>
          </w:rPr>
          <w:t xml:space="preserve">Excel</w:t>
        </w:r>
        <w:r>
          <w:rPr>
            <w:rStyle w:val="924"/>
            <w:sz w:val="28"/>
            <w:szCs w:val="28"/>
          </w:rPr>
          <w:t xml:space="preserve">)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_Toc126930851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10</w:t>
        </w:r>
        <w:r>
          <w:rPr>
            <w:sz w:val="28"/>
            <w:szCs w:val="28"/>
          </w:rPr>
          <w:fldChar w:fldCharType="end"/>
        </w:r>
      </w:hyperlink>
      <w:r/>
      <w:r/>
    </w:p>
    <w:p>
      <w:pPr>
        <w:pStyle w:val="951"/>
        <w:ind w:firstLine="1134"/>
        <w:rPr>
          <w:rFonts w:eastAsiaTheme="minorEastAsia"/>
          <w:sz w:val="28"/>
          <w:szCs w:val="28"/>
        </w:rPr>
      </w:pPr>
      <w:r/>
      <w:hyperlink w:tooltip="#_Toc126930853" w:anchor="_Toc126930853" w:history="1">
        <w:r>
          <w:rPr>
            <w:rStyle w:val="924"/>
            <w:sz w:val="28"/>
            <w:szCs w:val="28"/>
          </w:rPr>
          <w:t xml:space="preserve">1.5.2. Структура модулей конкурсного задания </w:t>
        </w:r>
        <w:r>
          <w:rPr>
            <w:rStyle w:val="924"/>
            <w:bCs/>
            <w:sz w:val="28"/>
            <w:szCs w:val="28"/>
          </w:rPr>
          <w:t xml:space="preserve">(инвариант)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_Toc126930853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11</w:t>
        </w:r>
        <w:r>
          <w:rPr>
            <w:sz w:val="28"/>
            <w:szCs w:val="28"/>
          </w:rPr>
          <w:fldChar w:fldCharType="end"/>
        </w:r>
      </w:hyperlink>
      <w:r/>
      <w:r/>
    </w:p>
    <w:p>
      <w:pPr>
        <w:pStyle w:val="951"/>
        <w:tabs>
          <w:tab w:val="left" w:pos="440" w:leader="none"/>
        </w:tabs>
        <w:rPr>
          <w:rFonts w:eastAsiaTheme="minorEastAsia"/>
          <w:sz w:val="28"/>
          <w:szCs w:val="28"/>
        </w:rPr>
      </w:pPr>
      <w:r/>
      <w:hyperlink w:tooltip="#_Toc126930854" w:anchor="_Toc126930854" w:history="1">
        <w:r>
          <w:rPr>
            <w:rStyle w:val="924"/>
            <w:iCs/>
            <w:sz w:val="28"/>
            <w:szCs w:val="28"/>
          </w:rPr>
          <w:t xml:space="preserve">2.</w:t>
        </w:r>
        <w:r>
          <w:rPr>
            <w:rFonts w:eastAsiaTheme="minorEastAsia"/>
            <w:sz w:val="28"/>
            <w:szCs w:val="28"/>
          </w:rPr>
          <w:tab/>
        </w:r>
        <w:r>
          <w:rPr>
            <w:rStyle w:val="924"/>
            <w:iCs/>
            <w:sz w:val="28"/>
            <w:szCs w:val="28"/>
          </w:rPr>
          <w:t xml:space="preserve">СПЕЦИАЛЬНЫЕ ПРАВИЛА КОМПЕТЕНЦИИ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_Toc126930854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11</w:t>
        </w:r>
        <w:r>
          <w:rPr>
            <w:sz w:val="28"/>
            <w:szCs w:val="28"/>
          </w:rPr>
          <w:fldChar w:fldCharType="end"/>
        </w:r>
      </w:hyperlink>
      <w:r/>
      <w:r/>
    </w:p>
    <w:p>
      <w:pPr>
        <w:pStyle w:val="951"/>
        <w:ind w:firstLine="567"/>
        <w:rPr>
          <w:rFonts w:eastAsiaTheme="minorEastAsia"/>
          <w:sz w:val="28"/>
          <w:szCs w:val="28"/>
        </w:rPr>
      </w:pPr>
      <w:r/>
      <w:hyperlink w:tooltip="#_Toc126930855" w:anchor="_Toc126930855" w:history="1">
        <w:r>
          <w:rPr>
            <w:rStyle w:val="924"/>
            <w:sz w:val="28"/>
            <w:szCs w:val="28"/>
          </w:rPr>
          <w:t xml:space="preserve">2.1. </w:t>
        </w:r>
        <w:r>
          <w:rPr>
            <w:rStyle w:val="924"/>
            <w:bCs/>
            <w:iCs/>
            <w:sz w:val="28"/>
            <w:szCs w:val="28"/>
          </w:rPr>
          <w:t xml:space="preserve">Личный инструмент конкурсанта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_Toc126930855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14</w:t>
        </w:r>
        <w:r>
          <w:rPr>
            <w:sz w:val="28"/>
            <w:szCs w:val="28"/>
          </w:rPr>
          <w:fldChar w:fldCharType="end"/>
        </w:r>
      </w:hyperlink>
      <w:r/>
      <w:r/>
    </w:p>
    <w:p>
      <w:pPr>
        <w:pStyle w:val="951"/>
        <w:ind w:firstLine="567"/>
        <w:rPr>
          <w:rFonts w:eastAsiaTheme="minorEastAsia"/>
          <w:sz w:val="28"/>
          <w:szCs w:val="28"/>
        </w:rPr>
      </w:pPr>
      <w:r/>
      <w:hyperlink w:tooltip="#_Toc126930856" w:anchor="_Toc126930856" w:history="1">
        <w:r>
          <w:rPr>
            <w:rStyle w:val="924"/>
            <w:sz w:val="28"/>
            <w:szCs w:val="28"/>
          </w:rPr>
          <w:t xml:space="preserve">2.2.</w:t>
        </w:r>
        <w:r>
          <w:rPr>
            <w:rStyle w:val="924"/>
            <w:i/>
            <w:sz w:val="28"/>
            <w:szCs w:val="28"/>
          </w:rPr>
          <w:t xml:space="preserve"> </w:t>
        </w:r>
        <w:r>
          <w:rPr>
            <w:rStyle w:val="924"/>
            <w:sz w:val="28"/>
            <w:szCs w:val="28"/>
          </w:rPr>
          <w:t xml:space="preserve">Материалы, оборудование и инструменты, запрещенные на площадке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_Toc126930856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15</w:t>
        </w:r>
        <w:r>
          <w:rPr>
            <w:sz w:val="28"/>
            <w:szCs w:val="28"/>
          </w:rPr>
          <w:fldChar w:fldCharType="end"/>
        </w:r>
      </w:hyperlink>
      <w:r/>
      <w:r/>
    </w:p>
    <w:p>
      <w:pPr>
        <w:pStyle w:val="951"/>
        <w:rPr>
          <w:rFonts w:eastAsiaTheme="minorEastAsia"/>
          <w:sz w:val="28"/>
          <w:szCs w:val="28"/>
        </w:rPr>
      </w:pPr>
      <w:r/>
      <w:hyperlink w:tooltip="#_Toc126930858" w:anchor="_Toc126930858" w:history="1">
        <w:r>
          <w:rPr>
            <w:rStyle w:val="924"/>
            <w:sz w:val="28"/>
            <w:szCs w:val="28"/>
          </w:rPr>
          <w:t xml:space="preserve">3. </w:t>
        </w:r>
        <w:r>
          <w:rPr>
            <w:rStyle w:val="924"/>
            <w:sz w:val="28"/>
            <w:szCs w:val="28"/>
          </w:rPr>
          <w:t xml:space="preserve">ПРИЛОЖЕНИЯ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_Toc126930858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16</w:t>
        </w:r>
        <w:r>
          <w:rPr>
            <w:sz w:val="28"/>
            <w:szCs w:val="28"/>
          </w:rPr>
          <w:fldChar w:fldCharType="end"/>
        </w:r>
      </w:hyperlink>
      <w:r/>
      <w:r/>
    </w:p>
    <w:p>
      <w:pPr>
        <w:pStyle w:val="928"/>
        <w:numPr>
          <w:ilvl w:val="0"/>
          <w:numId w:val="0"/>
        </w:numPr>
        <w:jc w:val="both"/>
        <w:tabs>
          <w:tab w:val="left" w:pos="142" w:leader="none"/>
          <w:tab w:val="right" w:pos="9639" w:leader="dot"/>
        </w:tabs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928"/>
        <w:numPr>
          <w:ilvl w:val="0"/>
          <w:numId w:val="0"/>
        </w:numPr>
        <w:ind w:firstLine="709"/>
        <w:jc w:val="center"/>
        <w:spacing w:line="276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ИСПОЛЬЗУЕМЫЕ СОКРАЩЕНИЯ</w:t>
      </w:r>
      <w:r/>
    </w:p>
    <w:tbl>
      <w:tblPr>
        <w:tblStyle w:val="979"/>
        <w:tblW w:w="9498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820"/>
        <w:gridCol w:w="1927"/>
        <w:gridCol w:w="6751"/>
      </w:tblGrid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contextualSpacing/>
              <w:ind w:left="0" w:firstLine="0"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ТК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Требования компетенции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contextualSpacing/>
              <w:ind w:left="0" w:firstLine="0"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КЗ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Конкурсное задание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contextualSpacing/>
              <w:ind w:left="0" w:firstLine="0"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ИЛ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Инфраструктурный лист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contextualSpacing/>
              <w:ind w:left="0" w:firstLine="0"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КО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Критерии оценки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contextualSpacing/>
              <w:ind w:left="0" w:firstLine="0"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ПЗ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План застройки площадки компетенции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contextualSpacing/>
              <w:ind w:left="0" w:firstLine="0"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НД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Нормативный документ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contextualSpacing/>
              <w:ind w:left="0" w:firstLine="0"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ГЭ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i/>
                <w:color w:val="000000"/>
                <w:sz w:val="28"/>
                <w:szCs w:val="28"/>
              </w:rPr>
              <w:t xml:space="preserve">Главный эксперт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contextualSpacing/>
              <w:ind w:left="0" w:firstLine="0"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tabs>
                <w:tab w:val="left" w:pos="801" w:leader="none"/>
              </w:tabs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i/>
                <w:sz w:val="28"/>
                <w:szCs w:val="28"/>
                <w:lang w:eastAsia="ru-RU"/>
              </w:rPr>
              <w:t xml:space="preserve">ТФ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i/>
                <w:sz w:val="28"/>
                <w:szCs w:val="28"/>
                <w:lang w:eastAsia="ru-RU"/>
              </w:rPr>
              <w:t xml:space="preserve">Трудовые функции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contextualSpacing/>
              <w:ind w:left="0" w:firstLine="0"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i/>
                <w:sz w:val="28"/>
                <w:szCs w:val="28"/>
                <w:lang w:eastAsia="ru-RU"/>
              </w:rPr>
              <w:t xml:space="preserve">ОТФ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i/>
                <w:sz w:val="28"/>
                <w:szCs w:val="28"/>
                <w:lang w:eastAsia="ru-RU"/>
              </w:rPr>
              <w:t xml:space="preserve">Обобщенные трудовые функции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contextualSpacing/>
              <w:ind w:left="0" w:firstLine="0"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i/>
                <w:sz w:val="28"/>
                <w:szCs w:val="28"/>
                <w:lang w:eastAsia="ru-RU"/>
              </w:rPr>
              <w:t xml:space="preserve">ОТ и ТБ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i/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i/>
                <w:sz w:val="28"/>
                <w:szCs w:val="28"/>
                <w:lang w:eastAsia="ru-RU"/>
              </w:rPr>
              <w:t xml:space="preserve">Охрана труда и техника безопасности</w:t>
            </w:r>
            <w:r/>
          </w:p>
        </w:tc>
      </w:tr>
    </w:tbl>
    <w:p>
      <w:pPr>
        <w:pStyle w:val="928"/>
        <w:numPr>
          <w:ilvl w:val="0"/>
          <w:numId w:val="0"/>
        </w:numPr>
        <w:ind w:firstLine="709"/>
        <w:jc w:val="both"/>
        <w:spacing w:line="276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</w:r>
      <w:r/>
    </w:p>
    <w:p>
      <w:pPr>
        <w:ind w:left="360" w:firstLine="709"/>
        <w:jc w:val="both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ind w:left="360" w:firstLine="709"/>
        <w:jc w:val="both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pStyle w:val="92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/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  <w:r/>
      <w:r/>
    </w:p>
    <w:p>
      <w:pPr>
        <w:pStyle w:val="953"/>
        <w:numPr>
          <w:ilvl w:val="0"/>
          <w:numId w:val="28"/>
        </w:numPr>
        <w:ind w:left="0"/>
        <w:jc w:val="center"/>
        <w:spacing w:before="0" w:after="0" w:line="276" w:lineRule="auto"/>
        <w:rPr>
          <w:rFonts w:ascii="Times New Roman" w:hAnsi="Times New Roman"/>
          <w:color w:val="auto"/>
          <w:sz w:val="28"/>
          <w:szCs w:val="28"/>
        </w:rPr>
      </w:pPr>
      <w:r/>
      <w:bookmarkStart w:id="1" w:name="_Toc126930845"/>
      <w:r>
        <w:rPr>
          <w:rFonts w:ascii="Times New Roman" w:hAnsi="Times New Roman"/>
          <w:color w:val="auto"/>
          <w:sz w:val="28"/>
          <w:szCs w:val="28"/>
        </w:rPr>
        <w:t xml:space="preserve">ОСНОВНЫЕ ТРЕБОВАНИЯ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КОМПЕТЕНЦИИ</w:t>
      </w:r>
      <w:bookmarkEnd w:id="1"/>
      <w:r/>
      <w:r/>
    </w:p>
    <w:p>
      <w:pPr>
        <w:pStyle w:val="953"/>
        <w:spacing w:before="0" w:after="0" w:line="276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  <w:r/>
    </w:p>
    <w:p>
      <w:pPr>
        <w:pStyle w:val="954"/>
        <w:ind w:firstLine="709"/>
        <w:jc w:val="both"/>
        <w:spacing w:before="0" w:after="0" w:line="276" w:lineRule="auto"/>
        <w:rPr>
          <w:rFonts w:ascii="Times New Roman" w:hAnsi="Times New Roman"/>
          <w:szCs w:val="28"/>
        </w:rPr>
      </w:pPr>
      <w:r/>
      <w:bookmarkStart w:id="2" w:name="_Toc126930846"/>
      <w:r>
        <w:rPr>
          <w:rFonts w:ascii="Times New Roman" w:hAnsi="Times New Roman"/>
          <w:szCs w:val="28"/>
        </w:rPr>
        <w:t xml:space="preserve">1</w:t>
      </w:r>
      <w:r>
        <w:rPr>
          <w:rFonts w:ascii="Times New Roman" w:hAnsi="Times New Roman"/>
          <w:szCs w:val="28"/>
        </w:rPr>
        <w:t xml:space="preserve">.1. </w:t>
      </w:r>
      <w:r>
        <w:rPr>
          <w:rFonts w:ascii="Times New Roman" w:hAnsi="Times New Roman"/>
          <w:szCs w:val="28"/>
        </w:rPr>
        <w:t xml:space="preserve">ОБЩИЕ СВЕДЕНИЯ О </w:t>
      </w:r>
      <w:r>
        <w:rPr>
          <w:rFonts w:ascii="Times New Roman" w:hAnsi="Times New Roman"/>
          <w:szCs w:val="28"/>
        </w:rPr>
        <w:t xml:space="preserve">ТРЕБОВАНИЯХ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КОМПЕТЕНЦИИ</w:t>
      </w:r>
      <w:bookmarkEnd w:id="2"/>
      <w:r/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</w:t>
      </w:r>
      <w:r>
        <w:rPr>
          <w:rFonts w:ascii="Times New Roman" w:hAnsi="Times New Roman" w:cs="Times New Roman"/>
          <w:sz w:val="28"/>
          <w:szCs w:val="28"/>
        </w:rPr>
        <w:t xml:space="preserve">Лабораторный химический анализ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 xml:space="preserve">определя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 знани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 w:cs="Times New Roman"/>
          <w:sz w:val="28"/>
          <w:szCs w:val="28"/>
        </w:rPr>
        <w:t xml:space="preserve">наиболее актуальных</w:t>
      </w:r>
      <w:r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>
        <w:rPr>
          <w:rFonts w:ascii="Times New Roman" w:hAnsi="Times New Roman" w:cs="Times New Roman"/>
          <w:sz w:val="28"/>
          <w:szCs w:val="28"/>
        </w:rPr>
        <w:t xml:space="preserve"> отрасли.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 по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является демонстрация лучших</w:t>
      </w:r>
      <w:r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ребования</w:t>
      </w:r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</w:t>
      </w:r>
      <w:r>
        <w:rPr>
          <w:rFonts w:ascii="Times New Roman" w:hAnsi="Times New Roman" w:cs="Times New Roman"/>
          <w:sz w:val="28"/>
          <w:szCs w:val="28"/>
        </w:rPr>
        <w:t xml:space="preserve">оквалифицированных специалистов/</w:t>
      </w:r>
      <w:r>
        <w:rPr>
          <w:rFonts w:ascii="Times New Roman" w:hAnsi="Times New Roman" w:cs="Times New Roman"/>
          <w:sz w:val="28"/>
          <w:szCs w:val="28"/>
        </w:rPr>
        <w:t xml:space="preserve">рабочих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участия их в конкурсах профессионального мастерства.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</w:t>
      </w:r>
      <w:r>
        <w:rPr>
          <w:rFonts w:ascii="Times New Roman" w:hAnsi="Times New Roman" w:cs="Times New Roman"/>
          <w:sz w:val="28"/>
          <w:szCs w:val="28"/>
        </w:rPr>
        <w:t xml:space="preserve">мпетенции </w:t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 xml:space="preserve">знаний</w:t>
      </w:r>
      <w:r>
        <w:rPr>
          <w:rFonts w:ascii="Times New Roman" w:hAnsi="Times New Roman" w:cs="Times New Roman"/>
          <w:sz w:val="28"/>
          <w:szCs w:val="28"/>
        </w:rPr>
        <w:t xml:space="preserve">, умени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, навык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 и трудовы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>
        <w:rPr>
          <w:rFonts w:ascii="Times New Roman" w:hAnsi="Times New Roman" w:cs="Times New Roman"/>
          <w:sz w:val="28"/>
          <w:szCs w:val="28"/>
        </w:rPr>
        <w:t xml:space="preserve">работы.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</w:t>
      </w:r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>
        <w:rPr>
          <w:rFonts w:ascii="Times New Roman" w:hAnsi="Times New Roman" w:cs="Times New Roman"/>
          <w:sz w:val="28"/>
          <w:szCs w:val="28"/>
        </w:rPr>
        <w:t xml:space="preserve">, к</w:t>
      </w:r>
      <w:r>
        <w:rPr>
          <w:rFonts w:ascii="Times New Roman" w:hAnsi="Times New Roman" w:cs="Times New Roman"/>
          <w:sz w:val="28"/>
          <w:szCs w:val="28"/>
        </w:rPr>
        <w:t xml:space="preserve">аждому разделу назначен процент относительной важности</w:t>
      </w:r>
      <w:r>
        <w:rPr>
          <w:rFonts w:ascii="Times New Roman" w:hAnsi="Times New Roman" w:cs="Times New Roman"/>
          <w:sz w:val="28"/>
          <w:szCs w:val="28"/>
        </w:rPr>
        <w:t xml:space="preserve">, с</w:t>
      </w:r>
      <w:r>
        <w:rPr>
          <w:rFonts w:ascii="Times New Roman" w:hAnsi="Times New Roman" w:cs="Times New Roman"/>
          <w:sz w:val="28"/>
          <w:szCs w:val="28"/>
        </w:rPr>
        <w:t xml:space="preserve">умма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 xml:space="preserve">составляет 100.</w:t>
      </w:r>
      <w:r/>
    </w:p>
    <w:p>
      <w:pPr>
        <w:pStyle w:val="895"/>
        <w:ind w:firstLine="709"/>
        <w:jc w:val="both"/>
        <w:spacing w:after="0" w:line="276" w:lineRule="auto"/>
        <w:rPr>
          <w:rFonts w:ascii="Times New Roman" w:hAnsi="Times New Roman"/>
          <w:color w:val="000000"/>
          <w:sz w:val="24"/>
          <w:lang w:val="ru-RU"/>
        </w:rPr>
      </w:pPr>
      <w:r/>
      <w:bookmarkStart w:id="4" w:name="_Toc78885652"/>
      <w:r/>
      <w:bookmarkStart w:id="5" w:name="_Toc126930847"/>
      <w:r>
        <w:rPr>
          <w:rFonts w:ascii="Times New Roman" w:hAnsi="Times New Roman"/>
          <w:color w:val="000000"/>
          <w:sz w:val="24"/>
          <w:lang w:val="ru-RU"/>
        </w:rPr>
        <w:t xml:space="preserve">1</w:t>
      </w:r>
      <w:r>
        <w:rPr>
          <w:rFonts w:ascii="Times New Roman" w:hAnsi="Times New Roman"/>
          <w:color w:val="000000"/>
          <w:sz w:val="24"/>
          <w:lang w:val="ru-RU"/>
        </w:rPr>
        <w:t xml:space="preserve"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 xml:space="preserve">2</w:t>
      </w:r>
      <w:r>
        <w:rPr>
          <w:rFonts w:ascii="Times New Roman" w:hAnsi="Times New Roman"/>
          <w:color w:val="000000"/>
          <w:sz w:val="24"/>
          <w:lang w:val="ru-RU"/>
        </w:rPr>
        <w:t xml:space="preserve"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 xml:space="preserve">ЗАДАЧ СПЕЦИАЛИСТА ПО КОМПЕТЕНЦИИ «</w:t>
      </w:r>
      <w:r>
        <w:rPr>
          <w:rFonts w:ascii="Times New Roman" w:hAnsi="Times New Roman"/>
          <w:lang w:val="ru-RU"/>
        </w:rPr>
        <w:t xml:space="preserve">Лабораторный химический анализ</w:t>
      </w:r>
      <w:r>
        <w:rPr>
          <w:rFonts w:ascii="Times New Roman" w:hAnsi="Times New Roman"/>
          <w:color w:val="000000"/>
          <w:sz w:val="24"/>
          <w:lang w:val="ru-RU"/>
        </w:rPr>
        <w:t xml:space="preserve">»</w:t>
      </w:r>
      <w:bookmarkEnd w:id="5"/>
      <w:r/>
      <w:r/>
    </w:p>
    <w:p>
      <w:pPr>
        <w:jc w:val="right"/>
        <w:spacing w:after="0"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№1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профессиональных задач специалиста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>
        <w:trPr/>
        <w:tc>
          <w:tcPr>
            <w:shd w:val="clear" w:color="auto" w:fill="92d050"/>
            <w:tcW w:w="33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№ п/п</w:t>
            </w:r>
            <w:r/>
          </w:p>
        </w:tc>
        <w:tc>
          <w:tcPr>
            <w:shd w:val="clear" w:color="auto" w:fill="92d050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Раздел</w:t>
            </w:r>
            <w:r/>
          </w:p>
        </w:tc>
        <w:tc>
          <w:tcPr>
            <w:shd w:val="clear" w:color="auto" w:fill="92d050"/>
            <w:tcW w:w="11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Важность в %</w:t>
            </w:r>
            <w:r/>
          </w:p>
        </w:tc>
      </w:tr>
      <w:tr>
        <w:trPr>
          <w:trHeight w:val="597"/>
        </w:trPr>
        <w:tc>
          <w:tcPr>
            <w:shd w:val="clear" w:color="auto" w:fill="bfbfbf" w:themeFill="background1" w:themeFillShade="BF"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безопасность работ </w:t>
            </w:r>
            <w:r>
              <w:rPr>
                <w:rFonts w:ascii="Calibri" w:hAnsi="Calibri" w:eastAsia="Calibri" w:cs="Calibri"/>
                <w:b/>
                <w:color w:val="ffffff"/>
                <w:sz w:val="24"/>
                <w:szCs w:val="24"/>
                <w:lang w:eastAsia="ru-RU"/>
              </w:rPr>
              <w:t xml:space="preserve">Организация работ и</w:t>
            </w:r>
            <w:r/>
          </w:p>
        </w:tc>
        <w:tc>
          <w:tcPr>
            <w:shd w:val="clear" w:color="auto" w:fill="auto"/>
            <w:tcW w:w="113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Основные принципы планирования эксперимента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, способы выстраивания эффективной работы и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 распределения рабочего времени;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Важность поддержания раб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очего места в чистоте и порядке;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Принципы и методы безопасной утилизации или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 переработки химических веществ;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Требования охраны при работе с электрооборудованием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;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Требования охраны труда при работе с агрессивными средами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;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Требования охраны труда при работе с легковоспламеняющимися и горючими жидкостями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Требования пожарной безопасности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 LT CYR 45 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Выполнять требования</w:t>
            </w:r>
            <w:r>
              <w:rPr>
                <w:rFonts w:ascii="Times New Roman" w:hAnsi="Times New Roman" w:eastAsia="Frutiger LT CYR 45 Light" w:cs="Times New Roman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равил техники безопасности, норм по охране труда и </w:t>
            </w:r>
            <w:r>
              <w:rPr>
                <w:rFonts w:ascii="Times New Roman" w:hAnsi="Times New Roman" w:eastAsia="Frutiger LT CYR 45 Light" w:cs="Times New Roman"/>
                <w:sz w:val="24"/>
                <w:szCs w:val="24"/>
                <w:lang w:eastAsia="ru-RU"/>
              </w:rPr>
              <w:t xml:space="preserve">правил противопожарной защиты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работе в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химической лаборатории;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Соблюдать 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ринципы безопасной работы с химическими реактивами, стеклянной посуд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ой и лабораторным оборудованием;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Правильно использовать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средства индивидуальной защиты, а также правильно ухаж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ивать за ними;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Обращаться с опасными для окружающей среды веще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ствами, проводить их утилизацию;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Использовать спец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одежду при работе в лаборатории;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  <w:t xml:space="preserve">Эффект</w:t>
            </w:r>
            <w:r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  <w:t xml:space="preserve">ивно использовать рабочее время;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Составлять и последовательно следовать плану работы в соответствии с 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используемой методикой анализа;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Поддерживать рабочее место в чистоте и порядке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Утилизировать использованные реактивы, растворы и материалы в соответствии с инструкциями.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Техника работы с оборудованием и химической посудой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13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Основное назначение, принципы использования и хранения необходимой лабораторной посуды, оборудования.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работы с используемым лабораторным оборудованием, аппаратурой и контрольно-измерительными приборами.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Устройство и принцип работы используемого аналитического оборудования.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Надлежащие правила использования мерной посуды и химической посуды общего назначения в соответствии государственными стандартами и техническими условиями.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пользования аналитическими и техническими весами, установленные производителем и нормативными документами.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работы с термометрами различных видов.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Методы проведения калибровки применяемой мерной посуды, приборов и аппаратуры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134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-84" w:leader="none"/>
              </w:tabs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  <w:t xml:space="preserve">Правильно подбирать, применять, мыть и хранить 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лабораторную посуду.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</w:tabs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  <w:t xml:space="preserve">Грамотно и аккуратно обращаться с оборудованием химико-аналитических лабораторий в соответствии с руководством по эксплуатации.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Осуществлять правильную сборку лабораторных установок для заданного вида анализа.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Работать на представленном лабораторном оборудовании, проводить его обслуживание и настройку.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Надлежащим образом использовать мерную и химическую посуду общего назначения в соответствии государственными стандартами и техническими условиями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Правильно отмерять заданные объемы жидкостей с помощью мерной посуды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Использовать технические и аналитические весы в соответствии с руководством по эксплуатации.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Работать с термометрами различных видов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Проводить калибровку применяемой мерной посуды, приборов и аппаратуры в соответствии с инструкциями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Правильно снимать и записывать показания приборов.</w:t>
            </w:r>
            <w:r/>
          </w:p>
          <w:p>
            <w:pPr>
              <w:jc w:val="both"/>
              <w:spacing w:after="0"/>
              <w:tabs>
                <w:tab w:val="left" w:pos="-84" w:leader="none"/>
              </w:tabs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Frutiger LT CYR 45 Light" w:cs="Times New Roman"/>
                <w:sz w:val="24"/>
                <w:szCs w:val="24"/>
                <w:lang w:eastAsia="ru-RU"/>
              </w:rPr>
              <w:t xml:space="preserve">Подбирать для работы мерную посуду и лабораторное оборудование необходимого класса точности.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Работам с анализируемыми объектами и химическими реактивами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13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Основные химические свойства и назначение 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исследуемых или синтезируемых веществ, реагентов.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Правила отбора проб и образцов для проведения анализа химическими и инструментальными методами.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Свойства кислот, щелочей, индикаторов и других применяемых реактивов.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приготовления растворов точной и приблизительной концентрации.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работы с стандарт-титрами.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работы с государственными стандартными образцами (ГСО).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Нормативную документацию, относящуюся к контролю состава и свойств материалов с использованием химических и физико-химических методов анализа.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134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03"/>
        </w:trPr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  <w:t xml:space="preserve">Подготавливать реагенты и материалы, необходимые для проведения анализа.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Соблюдать правила отбора проб и образцов для проведения анализа </w:t>
            </w: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химическими и инструментальными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Выполнять количественный перенос проб и реактивов.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Готовить растворы точной и приблизительной концентрации.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Готовить растворы с использованием стандарт-титров и ГСО.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выполнения химических и физико-химических анализов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13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</w:t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должен знать и понимать: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Методы и методики выполнения требуемого анализа.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Оптимальные средства и методы анализа, позволяющие эффективно выполнять поставленные задачи за минимальный срок.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Соответствие методики задачам анализа по диапазону измеряемых значений и точности.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Качественный и количественный анализ неорганических и органических веществ химическими и физико-химическими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Основы общей, аналитической, физической химии и физико-химических методов анализа.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Методы  анализа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  природных, фармацевтических и промышленных 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материалов химическими и физико-химическими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Методы определение физических свойств и констант веществ, таких как плотность, вязкость, показатель преломления, проводимость и др.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Технику проведения основных операций химического анализа (растворения, смешения, нагревания, фильтрования и др.)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  <w:tab w:val="left" w:pos="617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Методы установки и проверки концентрации растворов.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  <w:tab w:val="left" w:pos="617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Требования, предъявляемые к качеству проб и проводимых анализов.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Способы определения массы и объема реагентов.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134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должен уметь: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Выбирать и обосновывать наиболее</w:t>
            </w: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 оптимальные средства и методы анализа химического объекта.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Проводить экспериментальные работы по аттестации методик анализа стандартных образцов.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Последовательно и обдуманно осуществлять анализ в соответствии с требованиями нормативной документации. 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анализ природных, фармацевтических и промышленных материалов химическими и физико-химическими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качественный и количественный анализ неорганических и органических веществ химическими и физико-химическими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Устанавливать и проверять концентрации растворов, определять поправочные коэффициенты.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работы по определению содержания вещества в анализируемых материалах различными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в лабораторных условиях синтез по заданной методике.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Определять физические свойства и константы веществ, такие как плотность, вязкость, показатель преломления, проводимость и др.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Находить, анализировать и применять техническую документацию, такую как государственные нормативы, ГОСТы, методические указания, инструкции, спецификации производителей, диаграммы и т. д., необходимую для проведения требуемого анализа.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обработки данных и представление результатов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113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</w:t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должен знать и понимать:</w:t>
            </w:r>
            <w:r/>
          </w:p>
          <w:p>
            <w:pPr>
              <w:jc w:val="both"/>
              <w:spacing w:after="0"/>
              <w:widowControl w:val="off"/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Способы расчета массовой доли, молярной концентрации, молярной концентрации эквивалента (нормальной), титра и других видов выражения концентрации веществ в растворе.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Способы расчёта заданных величин, представленных в методике.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математической обработки результатов проведенных анализов.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Единицы измерения определяемых параметров.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перевода единиц измерения.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пересчета концентраций с учетом разбавления и концентрирования проб.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Методы обработки информации с помощью специальных программ к соответствующему лабораторному оборудованию и программы 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для работы с электронными таблицами Excel (или аналог).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Общепринятые обозначения величин, используемых в химическом анализе.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статистической обработки результатов проведенных анализов.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Принципы расчета показателей контроля качества измерений.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Правильное представление результатов анализа в соответствии с НД.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Принципы оценки достоверности результатов анализа.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134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должен уметь:</w:t>
            </w:r>
            <w:r/>
          </w:p>
          <w:p>
            <w:pPr>
              <w:jc w:val="both"/>
              <w:spacing w:after="0"/>
              <w:widowControl w:val="off"/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Рассчитывать массовую долю вещества, молярную концентрацию, молярную концентрацию эквивалента (нормальную), титр и другие виды концентрации вещества в растворе.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Владеть специализированной терминологией характерной для работы в химико-аналитических лабораториях.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Правильно выбирать указанные в методике формулы расчета заданных величин, использовать при расчетах значения величин, имеющие требуемые размерности.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Использовать общепринятые буквенные обозначения физических величин.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Указывать размерность всех физических величин.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Правильно производить математические расчеты и округление полученных результатов.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Использовать методы интерполяции и экстраполяции данных.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математическую обработку результатов анализов с использованием специального программного обеспечения к соответствующему оборудованию, программ офисного пакета приложений 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val="en-US" w:eastAsia="ru-RU"/>
              </w:rPr>
              <w:t xml:space="preserve">Microsoft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val="en-US" w:eastAsia="ru-RU"/>
              </w:rPr>
              <w:t xml:space="preserve">Office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val="en-US" w:eastAsia="ru-RU"/>
              </w:rPr>
              <w:t xml:space="preserve">E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x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val="en-US" w:eastAsia="ru-RU"/>
              </w:rPr>
              <w:t xml:space="preserve">cel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и др.) или аналог.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Аккуратно структурированно, последовательно вести записи в отчете, четко и однозначно формулировать полученные выводы.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Проводить определение погрешности измерений в соответствии с используемой методикой.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Формулировать вывод о приемлемости результатов измерений параллельных определений.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оценку и интерпретацию результатов, формулировать соответствующие выводы.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Выделять полученный результат из общего текста отчета в виде вывода или заключения.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Окончательный результат анализа представлять с указанием погрешности, единиц измерения и доверительной вероятности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/>
    </w:p>
    <w:p>
      <w:pPr>
        <w:pStyle w:val="895"/>
        <w:ind w:firstLine="709"/>
        <w:jc w:val="both"/>
        <w:spacing w:before="0" w:after="0"/>
        <w:rPr>
          <w:rFonts w:ascii="Times New Roman" w:hAnsi="Times New Roman"/>
          <w:sz w:val="24"/>
          <w:lang w:val="ru-RU"/>
        </w:rPr>
      </w:pPr>
      <w:r/>
      <w:bookmarkStart w:id="6" w:name="_Toc78885655"/>
      <w:r/>
      <w:bookmarkStart w:id="7" w:name="_Toc126930848"/>
      <w:r>
        <w:rPr>
          <w:rFonts w:ascii="Times New Roman" w:hAnsi="Times New Roman"/>
          <w:color w:val="000000"/>
          <w:sz w:val="24"/>
          <w:lang w:val="ru-RU"/>
        </w:rPr>
        <w:t xml:space="preserve">1</w:t>
      </w:r>
      <w:r>
        <w:rPr>
          <w:rFonts w:ascii="Times New Roman" w:hAnsi="Times New Roman"/>
          <w:color w:val="000000"/>
          <w:sz w:val="24"/>
          <w:lang w:val="ru-RU"/>
        </w:rPr>
        <w:t xml:space="preserve">.</w:t>
      </w:r>
      <w:r>
        <w:rPr>
          <w:rFonts w:ascii="Times New Roman" w:hAnsi="Times New Roman"/>
          <w:color w:val="000000"/>
          <w:sz w:val="24"/>
          <w:lang w:val="ru-RU"/>
        </w:rPr>
        <w:t xml:space="preserve">3</w:t>
      </w:r>
      <w:r>
        <w:rPr>
          <w:rFonts w:ascii="Times New Roman" w:hAnsi="Times New Roman"/>
          <w:color w:val="000000"/>
          <w:sz w:val="24"/>
          <w:lang w:val="ru-RU"/>
        </w:rPr>
        <w:t xml:space="preserve">. ТРЕБОВАНИЯ К СХЕМЕ ОЦЕНКИ</w:t>
      </w:r>
      <w:bookmarkEnd w:id="6"/>
      <w:r/>
      <w:bookmarkEnd w:id="7"/>
      <w:r/>
      <w:r/>
    </w:p>
    <w:p>
      <w:pPr>
        <w:pStyle w:val="933"/>
        <w:ind w:firstLine="709"/>
        <w:spacing w:line="276" w:lineRule="auto"/>
        <w:widowControl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  <w:szCs w:val="28"/>
          <w:lang w:val="ru-RU"/>
        </w:rPr>
        <w:t xml:space="preserve">, обозначенных в требованиях и указанных в таблице</w:t>
      </w:r>
      <w:r>
        <w:rPr>
          <w:rFonts w:ascii="Times New Roman" w:hAnsi="Times New Roman"/>
          <w:sz w:val="28"/>
          <w:szCs w:val="28"/>
          <w:lang w:val="ru-RU"/>
        </w:rPr>
        <w:t xml:space="preserve"> №2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933"/>
        <w:ind w:firstLine="709"/>
        <w:jc w:val="right"/>
        <w:spacing w:line="276" w:lineRule="auto"/>
        <w:widowControl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Таблица №2</w:t>
      </w:r>
      <w:r/>
    </w:p>
    <w:p>
      <w:pPr>
        <w:pStyle w:val="933"/>
        <w:ind w:firstLine="709"/>
        <w:spacing w:line="276" w:lineRule="auto"/>
        <w:widowControl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ребований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к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ритерии оценки</w:t>
      </w:r>
      <w:r/>
    </w:p>
    <w:p>
      <w:pPr>
        <w:pStyle w:val="933"/>
        <w:widowControl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</w:r>
      <w:r/>
    </w:p>
    <w:tbl>
      <w:tblPr>
        <w:tblStyle w:val="925"/>
        <w:tblW w:w="3896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756"/>
        <w:gridCol w:w="756"/>
        <w:gridCol w:w="756"/>
        <w:gridCol w:w="807"/>
        <w:gridCol w:w="2051"/>
      </w:tblGrid>
      <w:tr>
        <w:trPr>
          <w:jc w:val="center"/>
          <w:trHeight w:val="1538"/>
        </w:trPr>
        <w:tc>
          <w:tcPr>
            <w:gridSpan w:val="6"/>
            <w:shd w:val="clear" w:color="auto" w:fill="92d050"/>
            <w:tcW w:w="366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Критерий/Модуль</w:t>
            </w:r>
            <w:r/>
          </w:p>
        </w:tc>
        <w:tc>
          <w:tcPr>
            <w:shd w:val="clear" w:color="auto" w:fill="92d050"/>
            <w:tcW w:w="133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баллов за раздел ТРЕБОВАНИЙ КОМПЕТЕНЦИИ</w:t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W w:w="133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Разделы ТРЕБОВАНИЙ КОМПЕТЕНЦИИ</w:t>
            </w:r>
            <w:r/>
          </w:p>
        </w:tc>
        <w:tc>
          <w:tcPr>
            <w:shd w:val="clear" w:color="auto" w:fill="92d050"/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49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A</w:t>
            </w:r>
            <w:r/>
          </w:p>
        </w:tc>
        <w:tc>
          <w:tcPr>
            <w:shd w:val="clear" w:color="auto" w:fill="00b050"/>
            <w:tcW w:w="46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Б</w:t>
            </w:r>
            <w:r/>
          </w:p>
        </w:tc>
        <w:tc>
          <w:tcPr>
            <w:shd w:val="clear" w:color="auto" w:fill="00b050"/>
            <w:tcW w:w="49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В</w:t>
            </w:r>
            <w:r/>
          </w:p>
        </w:tc>
        <w:tc>
          <w:tcPr>
            <w:shd w:val="clear" w:color="auto" w:fill="00b050"/>
            <w:tcW w:w="65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Г</w:t>
            </w:r>
            <w:r/>
          </w:p>
        </w:tc>
        <w:tc>
          <w:tcPr>
            <w:shd w:val="clear" w:color="auto" w:fill="00b050"/>
            <w:tcW w:w="1335" w:type="pct"/>
            <w:vAlign w:val="center"/>
            <w:textDirection w:val="lrTb"/>
            <w:noWrap w:val="false"/>
          </w:tcPr>
          <w:p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W w:w="1335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1</w:t>
            </w:r>
            <w:r/>
          </w:p>
        </w:tc>
        <w:tc>
          <w:tcPr>
            <w:tcW w:w="49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1,5</w:t>
            </w: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W w:w="467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1,</w:t>
            </w: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49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1,</w:t>
            </w: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65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1,</w:t>
            </w:r>
            <w:r>
              <w:rPr>
                <w:sz w:val="24"/>
                <w:szCs w:val="24"/>
              </w:rPr>
              <w:t xml:space="preserve">00</w:t>
            </w:r>
            <w:r/>
          </w:p>
        </w:tc>
        <w:tc>
          <w:tcPr>
            <w:shd w:val="clear" w:color="auto" w:fill="f2f2f2" w:themeFill="background1" w:themeFillShade="F2"/>
            <w:tcW w:w="133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5,0</w:t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W w:w="1335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2</w:t>
            </w:r>
            <w:r/>
          </w:p>
        </w:tc>
        <w:tc>
          <w:tcPr>
            <w:tcW w:w="49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3,00</w:t>
            </w:r>
            <w:r/>
          </w:p>
        </w:tc>
        <w:tc>
          <w:tcPr>
            <w:tcW w:w="467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5</w:t>
            </w:r>
            <w:r/>
          </w:p>
        </w:tc>
        <w:tc>
          <w:tcPr>
            <w:tcW w:w="49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5</w:t>
            </w:r>
            <w:r/>
          </w:p>
        </w:tc>
        <w:tc>
          <w:tcPr>
            <w:tcW w:w="65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</w:rPr>
              <w:t xml:space="preserve">,00</w:t>
            </w:r>
            <w:r/>
          </w:p>
        </w:tc>
        <w:tc>
          <w:tcPr>
            <w:shd w:val="clear" w:color="auto" w:fill="f2f2f2" w:themeFill="background1" w:themeFillShade="F2"/>
            <w:tcW w:w="133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</w:t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W w:w="1335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3</w:t>
            </w:r>
            <w:r/>
          </w:p>
        </w:tc>
        <w:tc>
          <w:tcPr>
            <w:tcW w:w="49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4,50</w:t>
            </w:r>
            <w:r/>
          </w:p>
        </w:tc>
        <w:tc>
          <w:tcPr>
            <w:tcW w:w="467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75</w:t>
            </w:r>
            <w:r/>
          </w:p>
        </w:tc>
        <w:tc>
          <w:tcPr>
            <w:tcW w:w="49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75</w:t>
            </w:r>
            <w:r/>
          </w:p>
        </w:tc>
        <w:tc>
          <w:tcPr>
            <w:tcW w:w="65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00</w:t>
            </w:r>
            <w:r/>
          </w:p>
        </w:tc>
        <w:tc>
          <w:tcPr>
            <w:shd w:val="clear" w:color="auto" w:fill="f2f2f2" w:themeFill="background1" w:themeFillShade="F2"/>
            <w:tcW w:w="133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15,0</w:t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W w:w="1335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4</w:t>
            </w:r>
            <w:r/>
          </w:p>
        </w:tc>
        <w:tc>
          <w:tcPr>
            <w:tcW w:w="49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7,50</w:t>
            </w:r>
            <w:r/>
          </w:p>
        </w:tc>
        <w:tc>
          <w:tcPr>
            <w:tcW w:w="467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6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25</w:t>
            </w:r>
            <w:r/>
          </w:p>
        </w:tc>
        <w:tc>
          <w:tcPr>
            <w:tcW w:w="49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6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25</w:t>
            </w:r>
            <w:r/>
          </w:p>
        </w:tc>
        <w:tc>
          <w:tcPr>
            <w:tcW w:w="65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5,00</w:t>
            </w:r>
            <w:r/>
          </w:p>
        </w:tc>
        <w:tc>
          <w:tcPr>
            <w:shd w:val="clear" w:color="auto" w:fill="f2f2f2" w:themeFill="background1" w:themeFillShade="F2"/>
            <w:tcW w:w="133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25,0</w:t>
            </w:r>
            <w:r/>
          </w:p>
        </w:tc>
      </w:tr>
      <w:tr>
        <w:trPr>
          <w:jc w:val="center"/>
          <w:trHeight w:val="449"/>
        </w:trPr>
        <w:tc>
          <w:tcPr>
            <w:shd w:val="clear" w:color="auto" w:fill="92d050"/>
            <w:tcW w:w="1335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5</w:t>
            </w:r>
            <w:r/>
          </w:p>
        </w:tc>
        <w:tc>
          <w:tcPr>
            <w:tcW w:w="49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,5</w:t>
            </w: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W w:w="467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49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65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9,00</w:t>
            </w:r>
            <w:r/>
          </w:p>
        </w:tc>
        <w:tc>
          <w:tcPr>
            <w:shd w:val="clear" w:color="auto" w:fill="f2f2f2" w:themeFill="background1" w:themeFillShade="F2"/>
            <w:tcW w:w="133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</w:t>
            </w:r>
            <w:r/>
          </w:p>
        </w:tc>
      </w:tr>
      <w:tr>
        <w:trPr>
          <w:jc w:val="center"/>
          <w:trHeight w:val="50"/>
        </w:trPr>
        <w:tc>
          <w:tcPr>
            <w:gridSpan w:val="2"/>
            <w:shd w:val="clear" w:color="auto" w:fill="00b050"/>
            <w:tcW w:w="154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баллов за критерий/модуль</w:t>
            </w:r>
            <w:r/>
          </w:p>
        </w:tc>
        <w:tc>
          <w:tcPr>
            <w:shd w:val="clear" w:color="auto" w:fill="f2f2f2" w:themeFill="background1" w:themeFillShade="F2"/>
            <w:tcW w:w="49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</w:t>
            </w:r>
            <w:r>
              <w:rPr>
                <w:sz w:val="22"/>
                <w:szCs w:val="22"/>
              </w:rPr>
              <w:t xml:space="preserve">,00</w:t>
            </w:r>
            <w:r/>
          </w:p>
        </w:tc>
        <w:tc>
          <w:tcPr>
            <w:shd w:val="clear" w:color="auto" w:fill="f2f2f2" w:themeFill="background1" w:themeFillShade="F2"/>
            <w:tcW w:w="467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25,0</w:t>
            </w:r>
            <w:r/>
          </w:p>
        </w:tc>
        <w:tc>
          <w:tcPr>
            <w:shd w:val="clear" w:color="auto" w:fill="f2f2f2" w:themeFill="background1" w:themeFillShade="F2"/>
            <w:tcW w:w="49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25,00</w:t>
            </w:r>
            <w:r/>
          </w:p>
        </w:tc>
        <w:tc>
          <w:tcPr>
            <w:shd w:val="clear" w:color="auto" w:fill="f2f2f2" w:themeFill="background1" w:themeFillShade="F2"/>
            <w:tcW w:w="65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,00</w:t>
            </w:r>
            <w:r/>
          </w:p>
        </w:tc>
        <w:tc>
          <w:tcPr>
            <w:shd w:val="clear" w:color="auto" w:fill="f2f2f2" w:themeFill="background1" w:themeFillShade="F2"/>
            <w:tcW w:w="133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100,00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54"/>
        <w:ind w:firstLine="709"/>
        <w:spacing w:before="0"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  <w:r/>
    </w:p>
    <w:p>
      <w:pPr>
        <w:pStyle w:val="954"/>
        <w:ind w:firstLine="709"/>
        <w:jc w:val="both"/>
        <w:spacing w:before="0" w:after="0"/>
        <w:rPr>
          <w:rFonts w:ascii="Times New Roman" w:hAnsi="Times New Roman"/>
          <w:sz w:val="24"/>
        </w:rPr>
      </w:pPr>
      <w:r/>
      <w:bookmarkStart w:id="8" w:name="_Toc126930849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СПЕЦИФИКАЦИЯ ОЦЕНКИ КОМПЕТЕНЦИИ</w:t>
      </w:r>
      <w:bookmarkEnd w:id="8"/>
      <w:r/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онкурсного задания будет основываться на критериях</w:t>
      </w:r>
      <w:r>
        <w:rPr>
          <w:rFonts w:ascii="Times New Roman" w:hAnsi="Times New Roman" w:cs="Times New Roman"/>
          <w:sz w:val="28"/>
          <w:szCs w:val="28"/>
        </w:rPr>
        <w:t xml:space="preserve">, указанных в таблице №3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709"/>
        <w:jc w:val="right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Таблица №3</w:t>
      </w:r>
      <w:r/>
    </w:p>
    <w:p>
      <w:pPr>
        <w:ind w:firstLine="709"/>
        <w:jc w:val="center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конкурсного задания</w:t>
      </w:r>
      <w:r/>
    </w:p>
    <w:tbl>
      <w:tblPr>
        <w:tblStyle w:val="925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>
        <w:trPr/>
        <w:tc>
          <w:tcPr>
            <w:gridSpan w:val="2"/>
            <w:shd w:val="clear" w:color="auto" w:fill="92d050"/>
            <w:tcW w:w="1851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Критерий</w:t>
            </w:r>
            <w:r/>
          </w:p>
        </w:tc>
        <w:tc>
          <w:tcPr>
            <w:shd w:val="clear" w:color="auto" w:fill="92d050"/>
            <w:tcW w:w="3149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Методика проверки навыков </w:t>
            </w:r>
            <w:r>
              <w:rPr>
                <w:b/>
                <w:sz w:val="24"/>
                <w:szCs w:val="24"/>
              </w:rPr>
              <w:t xml:space="preserve">в критерии</w:t>
            </w:r>
            <w:r/>
          </w:p>
        </w:tc>
      </w:tr>
      <w:tr>
        <w:trPr/>
        <w:tc>
          <w:tcPr>
            <w:shd w:val="clear" w:color="auto" w:fill="00b050"/>
            <w:tcW w:w="282" w:type="pct"/>
            <w:textDirection w:val="lrTb"/>
            <w:noWrap w:val="false"/>
          </w:tcPr>
          <w:p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А</w:t>
            </w:r>
            <w:r/>
          </w:p>
        </w:tc>
        <w:tc>
          <w:tcPr>
            <w:shd w:val="clear" w:color="auto" w:fill="92d050"/>
            <w:tcW w:w="1569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t xml:space="preserve">Фотометрический метод</w:t>
            </w:r>
            <w:r/>
          </w:p>
        </w:tc>
        <w:tc>
          <w:tcPr>
            <w:shd w:val="clear" w:color="auto" w:fill="auto"/>
            <w:tcW w:w="3149" w:type="pct"/>
            <w:textDirection w:val="lrTb"/>
            <w:noWrap w:val="false"/>
          </w:tcPr>
          <w:p>
            <w:pPr>
              <w:jc w:val="both"/>
            </w:pPr>
            <w:r>
              <w:t xml:space="preserve">• </w:t>
            </w:r>
            <w:r>
              <w:t xml:space="preserve">Организация рабочего места, подготовка оборудования и реактивов </w:t>
            </w:r>
            <w:r/>
          </w:p>
          <w:p>
            <w:pPr>
              <w:jc w:val="both"/>
            </w:pPr>
            <w:r>
              <w:t xml:space="preserve">• Техника выполнения задания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t xml:space="preserve"> • Обработка, анализ и оформление полученных результатов</w:t>
            </w:r>
            <w:r/>
          </w:p>
        </w:tc>
      </w:tr>
      <w:tr>
        <w:trPr/>
        <w:tc>
          <w:tcPr>
            <w:shd w:val="clear" w:color="auto" w:fill="00b050"/>
            <w:tcW w:w="282" w:type="pct"/>
            <w:textDirection w:val="lrTb"/>
            <w:noWrap w:val="false"/>
          </w:tcPr>
          <w:p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Б</w:t>
            </w:r>
            <w:r/>
          </w:p>
        </w:tc>
        <w:tc>
          <w:tcPr>
            <w:shd w:val="clear" w:color="auto" w:fill="92d050"/>
            <w:tcW w:w="1569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t xml:space="preserve">Потенциометрический метод</w:t>
            </w:r>
            <w:r/>
          </w:p>
        </w:tc>
        <w:tc>
          <w:tcPr>
            <w:shd w:val="clear" w:color="auto" w:fill="auto"/>
            <w:tcW w:w="3149" w:type="pct"/>
            <w:textDirection w:val="lrTb"/>
            <w:noWrap w:val="false"/>
          </w:tcPr>
          <w:p>
            <w:pPr>
              <w:jc w:val="both"/>
            </w:pPr>
            <w:r>
              <w:t xml:space="preserve">• </w:t>
            </w:r>
            <w:r>
              <w:t xml:space="preserve">Организация рабочего места, подготовка оборудования и реактивов </w:t>
            </w:r>
            <w:r/>
          </w:p>
          <w:p>
            <w:pPr>
              <w:jc w:val="both"/>
            </w:pPr>
            <w:r>
              <w:t xml:space="preserve">• Техника выполнения задания 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t xml:space="preserve">• Обработка, анализ и оформление полученных результатов</w:t>
            </w:r>
            <w:r/>
          </w:p>
        </w:tc>
      </w:tr>
      <w:tr>
        <w:trPr/>
        <w:tc>
          <w:tcPr>
            <w:shd w:val="clear" w:color="auto" w:fill="00b050"/>
            <w:tcW w:w="282" w:type="pct"/>
            <w:textDirection w:val="lrTb"/>
            <w:noWrap w:val="false"/>
          </w:tcPr>
          <w:p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В</w:t>
            </w:r>
            <w:r/>
          </w:p>
        </w:tc>
        <w:tc>
          <w:tcPr>
            <w:shd w:val="clear" w:color="auto" w:fill="92d050"/>
            <w:tcW w:w="1569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t xml:space="preserve">Титриметрический метод</w:t>
            </w:r>
            <w:r/>
          </w:p>
        </w:tc>
        <w:tc>
          <w:tcPr>
            <w:shd w:val="clear" w:color="auto" w:fill="auto"/>
            <w:tcW w:w="3149" w:type="pct"/>
            <w:textDirection w:val="lrTb"/>
            <w:noWrap w:val="false"/>
          </w:tcPr>
          <w:p>
            <w:pPr>
              <w:jc w:val="both"/>
            </w:pPr>
            <w:r>
              <w:t xml:space="preserve">• </w:t>
            </w:r>
            <w:r>
              <w:t xml:space="preserve">Организация рабочего места, подготовка оборудования и реактивов </w:t>
            </w:r>
            <w:r/>
          </w:p>
          <w:p>
            <w:pPr>
              <w:jc w:val="both"/>
            </w:pPr>
            <w:r>
              <w:t xml:space="preserve">• Техника выполнения задания 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t xml:space="preserve">• Обработка, анализ и оформление полученных результатов</w:t>
            </w:r>
            <w:r/>
          </w:p>
        </w:tc>
      </w:tr>
      <w:tr>
        <w:trPr/>
        <w:tc>
          <w:tcPr>
            <w:shd w:val="clear" w:color="auto" w:fill="00b050"/>
            <w:tcW w:w="282" w:type="pct"/>
            <w:textDirection w:val="lrTb"/>
            <w:noWrap w:val="false"/>
          </w:tcPr>
          <w:p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Г</w:t>
            </w:r>
            <w:r/>
          </w:p>
        </w:tc>
        <w:tc>
          <w:tcPr>
            <w:shd w:val="clear" w:color="auto" w:fill="92d050"/>
            <w:tcW w:w="1569" w:type="pct"/>
            <w:textDirection w:val="lrTb"/>
            <w:noWrap w:val="false"/>
          </w:tcPr>
          <w:p>
            <w:pPr>
              <w:jc w:val="both"/>
            </w:pPr>
            <w:r>
              <w:t xml:space="preserve">Кондуктометрический метод</w:t>
            </w:r>
            <w:r/>
          </w:p>
        </w:tc>
        <w:tc>
          <w:tcPr>
            <w:shd w:val="clear" w:color="auto" w:fill="auto"/>
            <w:tcW w:w="3149" w:type="pct"/>
            <w:textDirection w:val="lrTb"/>
            <w:noWrap w:val="false"/>
          </w:tcPr>
          <w:p>
            <w:pPr>
              <w:jc w:val="both"/>
            </w:pPr>
            <w:r>
              <w:t xml:space="preserve">• Организация рабочего места, подготовка оборудования и реактивов </w:t>
            </w:r>
            <w:r/>
          </w:p>
          <w:p>
            <w:pPr>
              <w:jc w:val="both"/>
            </w:pPr>
            <w:r>
              <w:t xml:space="preserve">• Техника выполнения задания </w:t>
            </w:r>
            <w:r/>
          </w:p>
          <w:p>
            <w:pPr>
              <w:jc w:val="both"/>
            </w:pPr>
            <w:r>
              <w:t xml:space="preserve">• Обработка, анализ и оформление полученных результатов</w:t>
            </w:r>
            <w:r/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54"/>
        <w:ind w:firstLine="709"/>
        <w:spacing w:before="0" w:after="0"/>
        <w:rPr>
          <w:rFonts w:ascii="Times New Roman" w:hAnsi="Times New Roman"/>
          <w:szCs w:val="28"/>
        </w:rPr>
      </w:pPr>
      <w:r/>
      <w:bookmarkStart w:id="9" w:name="_Toc126930850"/>
      <w:r>
        <w:rPr>
          <w:rFonts w:ascii="Times New Roman" w:hAnsi="Times New Roman"/>
          <w:szCs w:val="28"/>
        </w:rPr>
        <w:t xml:space="preserve">1.5. КОНКУРСНОЕ ЗАДАНИЕ</w:t>
      </w:r>
      <w:bookmarkEnd w:id="9"/>
      <w:r/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Возрастной ценз: 16–22 года.</w:t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Общая продолжительность Конкурсного задания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perscript"/>
        </w:rPr>
        <w:footnoteReference w:id="2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12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ч.</w:t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Количество конкурсных дней: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дня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 xml:space="preserve">требований</w:t>
      </w:r>
      <w:r>
        <w:rPr>
          <w:rFonts w:ascii="Times New Roman" w:hAnsi="Times New Roman" w:cs="Times New Roman"/>
          <w:sz w:val="28"/>
          <w:szCs w:val="28"/>
        </w:rPr>
        <w:t xml:space="preserve"> компетенции.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</w:t>
      </w:r>
      <w:r>
        <w:rPr>
          <w:rFonts w:ascii="Times New Roman" w:hAnsi="Times New Roman" w:cs="Times New Roman"/>
          <w:sz w:val="28"/>
          <w:szCs w:val="28"/>
        </w:rPr>
        <w:t xml:space="preserve">я проверки теоретических знаний/</w:t>
      </w:r>
      <w:r>
        <w:rPr>
          <w:rFonts w:ascii="Times New Roman" w:hAnsi="Times New Roman" w:cs="Times New Roman"/>
          <w:sz w:val="28"/>
          <w:szCs w:val="28"/>
        </w:rPr>
        <w:t xml:space="preserve">оценки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54"/>
        <w:ind w:firstLine="709"/>
        <w:spacing w:before="0" w:after="0" w:line="240" w:lineRule="auto"/>
        <w:rPr>
          <w:rFonts w:ascii="Times New Roman" w:hAnsi="Times New Roman"/>
          <w:szCs w:val="28"/>
        </w:rPr>
      </w:pPr>
      <w:r/>
      <w:bookmarkStart w:id="10" w:name="_Toc126930851"/>
      <w:r>
        <w:rPr>
          <w:rFonts w:ascii="Times New Roman" w:hAnsi="Times New Roman"/>
          <w:szCs w:val="28"/>
        </w:rPr>
        <w:t xml:space="preserve">1.5.1. </w:t>
      </w:r>
      <w:r>
        <w:rPr>
          <w:rFonts w:ascii="Times New Roman" w:hAnsi="Times New Roman"/>
          <w:szCs w:val="28"/>
        </w:rPr>
        <w:t xml:space="preserve">Разработка/выбор конкурсного задания</w:t>
      </w:r>
      <w:r>
        <w:rPr>
          <w:rFonts w:ascii="Times New Roman" w:hAnsi="Times New Roman"/>
          <w:szCs w:val="28"/>
        </w:rPr>
        <w:t xml:space="preserve"> (ссылка на </w:t>
      </w:r>
      <w:r>
        <w:rPr>
          <w:rFonts w:ascii="Times New Roman" w:hAnsi="Times New Roman"/>
          <w:szCs w:val="28"/>
        </w:rPr>
        <w:t xml:space="preserve">ЯндексДиск</w:t>
      </w:r>
      <w:r>
        <w:rPr>
          <w:rFonts w:ascii="Times New Roman" w:hAnsi="Times New Roman"/>
          <w:szCs w:val="28"/>
        </w:rPr>
        <w:t xml:space="preserve"> с матрицей, заполненной в </w:t>
      </w:r>
      <w:r>
        <w:rPr>
          <w:rFonts w:ascii="Times New Roman" w:hAnsi="Times New Roman"/>
          <w:szCs w:val="28"/>
          <w:lang w:val="en-US"/>
        </w:rPr>
        <w:t xml:space="preserve">Excel</w:t>
      </w:r>
      <w:r>
        <w:rPr>
          <w:rFonts w:ascii="Times New Roman" w:hAnsi="Times New Roman"/>
          <w:szCs w:val="28"/>
        </w:rPr>
        <w:t xml:space="preserve">)</w:t>
      </w:r>
      <w:bookmarkEnd w:id="10"/>
      <w:r/>
      <w:r/>
    </w:p>
    <w:p>
      <w:pPr>
        <w:ind w:firstLine="709"/>
        <w:jc w:val="both"/>
        <w:keepNext/>
        <w:spacing w:after="0" w:line="276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1"/>
      </w:pPr>
      <w:r/>
      <w:bookmarkStart w:id="11" w:name="_Toc126404550"/>
      <w:r/>
      <w:bookmarkStart w:id="12" w:name="_Toc126930700"/>
      <w:r/>
      <w:bookmarkStart w:id="13" w:name="_Toc126930743"/>
      <w:r/>
      <w:bookmarkStart w:id="14" w:name="_Toc126930780"/>
      <w:r/>
      <w:bookmarkStart w:id="15" w:name="_Toc126930852"/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Конкурсное задание состоит из четырёх модулей, включает обязательную к выполнению часть (инвариант) – модуль А, модуль Б, модуль В, и вариативную часть – модуль Г. Общее количество баллов конкурсного задания составляет 100.</w:t>
      </w:r>
      <w:bookmarkEnd w:id="11"/>
      <w:r/>
      <w:bookmarkEnd w:id="12"/>
      <w:r/>
      <w:bookmarkEnd w:id="13"/>
      <w:r/>
      <w:bookmarkEnd w:id="14"/>
      <w:r/>
      <w:bookmarkEnd w:id="15"/>
      <w:r/>
      <w:r/>
    </w:p>
    <w:p>
      <w:pPr>
        <w:ind w:firstLine="851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Обязательная к выполнению часть (инвариант) выполняется всеми регионами без исключе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ния на всех уровнях чемпионатов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(РЧ, Отборочные соревнования, ФНЧ).</w:t>
      </w:r>
      <w:r/>
    </w:p>
    <w:p>
      <w:pPr>
        <w:ind w:firstLine="851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вариативной части,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можно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заменить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регионом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самостоятельно в зависимости от материальных возмо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жностей площадки соревнований, запроса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работодателей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потребностей региона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соответствующих специалистах.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этом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время 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выполнение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вариативного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оценки по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аспектам не меня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тся.</w:t>
      </w:r>
      <w:r/>
    </w:p>
    <w:p>
      <w:pPr>
        <w:ind w:firstLine="851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zh-C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Если модуль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из  вариативной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части не выполняется, то время отведенное на выполнение данного модуля не перераспределяется и участники получают за этот модуль 0 баллов.</w:t>
      </w:r>
      <w:r/>
    </w:p>
    <w:p>
      <w:pPr>
        <w:ind w:firstLine="851"/>
        <w:jc w:val="right"/>
        <w:spacing w:after="0" w:line="360" w:lineRule="auto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 xml:space="preserve">Таблица №4</w:t>
      </w:r>
      <w:r/>
    </w:p>
    <w:p>
      <w:pPr>
        <w:ind w:firstLine="851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атриц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  <w:r/>
    </w:p>
    <w:tbl>
      <w:tblPr>
        <w:tblStyle w:val="925"/>
        <w:tblW w:w="0" w:type="auto"/>
        <w:tblLook w:val="04A0" w:firstRow="1" w:lastRow="0" w:firstColumn="1" w:lastColumn="0" w:noHBand="0" w:noVBand="1"/>
      </w:tblPr>
      <w:tblGrid>
        <w:gridCol w:w="1622"/>
        <w:gridCol w:w="1408"/>
        <w:gridCol w:w="1859"/>
        <w:gridCol w:w="1155"/>
        <w:gridCol w:w="2304"/>
        <w:gridCol w:w="642"/>
        <w:gridCol w:w="639"/>
      </w:tblGrid>
      <w:tr>
        <w:trPr>
          <w:trHeight w:val="1125"/>
        </w:trPr>
        <w:tc>
          <w:tcPr>
            <w:shd w:val="clear" w:color="auto" w:fill="auto"/>
            <w:tcW w:w="1622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Обобщенная трудовая функция</w:t>
            </w:r>
            <w:r/>
          </w:p>
        </w:tc>
        <w:tc>
          <w:tcPr>
            <w:shd w:val="clear" w:color="auto" w:fill="auto"/>
            <w:tcW w:w="1408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Трудовая функция</w:t>
            </w:r>
            <w:r/>
          </w:p>
        </w:tc>
        <w:tc>
          <w:tcPr>
            <w:shd w:val="clear" w:color="auto" w:fill="auto"/>
            <w:tcW w:w="1859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Нормативный документ/ЗУН</w:t>
            </w:r>
            <w:r/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</w:t>
            </w:r>
            <w:r/>
          </w:p>
        </w:tc>
        <w:tc>
          <w:tcPr>
            <w:tcW w:w="2304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Константа/</w:t>
            </w:r>
            <w:r>
              <w:rPr>
                <w:sz w:val="24"/>
                <w:szCs w:val="24"/>
              </w:rPr>
              <w:t xml:space="preserve">вариатив</w:t>
            </w:r>
            <w:r/>
          </w:p>
        </w:tc>
        <w:tc>
          <w:tcPr>
            <w:tcW w:w="642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</w:t>
            </w:r>
            <w:r/>
          </w:p>
        </w:tc>
        <w:tc>
          <w:tcPr>
            <w:tcW w:w="639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</w:t>
            </w:r>
            <w:r/>
          </w:p>
        </w:tc>
      </w:tr>
      <w:tr>
        <w:trPr>
          <w:trHeight w:val="699"/>
        </w:trPr>
        <w:tc>
          <w:tcPr>
            <w:shd w:val="clear" w:color="auto" w:fill="auto"/>
            <w:tcW w:w="1622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408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/>
          </w:p>
        </w:tc>
        <w:tc>
          <w:tcPr>
            <w:shd w:val="clear" w:color="auto" w:fill="auto"/>
            <w:tcW w:w="1859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/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W w:w="2304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  <w:lang w:val="en-US"/>
              </w:rPr>
              <w:t xml:space="preserve">/1</w:t>
            </w:r>
            <w:r/>
          </w:p>
        </w:tc>
        <w:tc>
          <w:tcPr>
            <w:tcW w:w="642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W w:w="639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</w:tr>
    </w:tbl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(Приложение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№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1)</w:t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pStyle w:val="954"/>
        <w:ind w:firstLine="709"/>
        <w:jc w:val="both"/>
        <w:spacing w:before="0" w:after="0" w:line="276" w:lineRule="auto"/>
        <w:rPr>
          <w:rFonts w:ascii="Times New Roman" w:hAnsi="Times New Roman"/>
          <w:szCs w:val="28"/>
        </w:rPr>
      </w:pPr>
      <w:r/>
      <w:bookmarkStart w:id="16" w:name="_Toc126930853"/>
      <w:r>
        <w:rPr>
          <w:rFonts w:ascii="Times New Roman" w:hAnsi="Times New Roman"/>
          <w:szCs w:val="28"/>
        </w:rPr>
        <w:t xml:space="preserve">1.5.2. Структура модулей конкурсного задания</w:t>
      </w:r>
      <w:r>
        <w:rPr>
          <w:rFonts w:ascii="Times New Roman" w:hAnsi="Times New Roman"/>
          <w:szCs w:val="28"/>
        </w:rPr>
        <w:t xml:space="preserve"> </w:t>
      </w:r>
      <w:bookmarkEnd w:id="16"/>
      <w:r/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А.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Фотометрический метод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(инвариант)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- </w:t>
      </w:r>
      <w:r>
        <w:rPr>
          <w:rFonts w:ascii="Times New Roman" w:hAnsi="Times New Roman" w:eastAsia="Times New Roman" w:cs="Times New Roman"/>
          <w:bCs/>
          <w:sz w:val="28"/>
          <w:szCs w:val="28"/>
          <w:u w:val="single"/>
        </w:rPr>
        <w:t xml:space="preserve">4ч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Участнику необходимо составить и реализовать алгоритм выполнения экспериментального задания в соответствии с нормативным документом (НД). Приготовить необходимые реактивы для определения содержания иона металла по </w:t>
      </w:r>
      <w:r>
        <w:rPr>
          <w:rFonts w:ascii="Times New Roman" w:hAnsi="Times New Roman" w:cs="Times New Roman"/>
          <w:sz w:val="28"/>
          <w:szCs w:val="28"/>
        </w:rPr>
        <w:t xml:space="preserve">НД. На контроль предлагается анализируемая проба. Метод ионообменной хроматографии.  Для выполнения данного модуля необходимо составить и реализовать алгоритм экспериментального задания в соответствии с методикой. Подготовить оборудование для эксперимента.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Б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Потенциометрический метод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(инвариант)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Время на выполнение модуля -3 часа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выполнения данного модуля необходимо с</w:t>
      </w:r>
      <w:r>
        <w:rPr>
          <w:rFonts w:ascii="Times New Roman" w:hAnsi="Times New Roman" w:eastAsia="Calibri" w:cs="Times New Roman"/>
          <w:sz w:val="28"/>
          <w:szCs w:val="28"/>
        </w:rPr>
        <w:t xml:space="preserve">оставить и реализовать алгоритм экспериментального задания в соответствии с нормативным документом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Подготовить оборудование для эксперимента</w:t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Титриметрический метод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(инвариант)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 -3ч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</w:t>
      </w:r>
      <w:r>
        <w:rPr>
          <w:rFonts w:ascii="Times New Roman" w:hAnsi="Times New Roman" w:cs="Times New Roman"/>
          <w:sz w:val="28"/>
          <w:szCs w:val="28"/>
        </w:rPr>
        <w:t xml:space="preserve"> выполнения данного модуля необходимо составить и реализовать алгоритм экспериментального задания в соответствии с нормативным документом. Подготовить оборудование для эксперимента.</w:t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sz w:val="28"/>
          <w:szCs w:val="28"/>
        </w:rPr>
        <w:t xml:space="preserve">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Кондуктометрический метод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(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вариатив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)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– 2 ч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</w:t>
      </w:r>
      <w:r>
        <w:rPr>
          <w:rFonts w:ascii="Times New Roman" w:hAnsi="Times New Roman" w:cs="Times New Roman"/>
          <w:sz w:val="28"/>
          <w:szCs w:val="28"/>
        </w:rPr>
        <w:t xml:space="preserve"> выполнения задания необходи</w:t>
      </w:r>
      <w:r>
        <w:rPr>
          <w:rFonts w:ascii="Times New Roman" w:hAnsi="Times New Roman" w:cs="Times New Roman"/>
          <w:sz w:val="28"/>
          <w:szCs w:val="28"/>
        </w:rPr>
        <w:t xml:space="preserve">мо составить и реализовать алгоритм выполнения экспериментального задания в соответствии с нормативным документом. Подготовить оборудование для эксперимента. Для получения необходимых результатов предлагается использование программы Microsoft Office Excel.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/>
    </w:p>
    <w:p>
      <w:pPr>
        <w:pStyle w:val="895"/>
        <w:numPr>
          <w:ilvl w:val="0"/>
          <w:numId w:val="28"/>
        </w:numPr>
        <w:jc w:val="both"/>
        <w:spacing w:after="0" w:line="276" w:lineRule="auto"/>
        <w:rPr>
          <w:rFonts w:ascii="Times New Roman" w:hAnsi="Times New Roman"/>
          <w:iCs/>
          <w:szCs w:val="28"/>
          <w:lang w:val="ru-RU"/>
        </w:rPr>
      </w:pPr>
      <w:r/>
      <w:bookmarkStart w:id="17" w:name="_Toc78885643"/>
      <w:r/>
      <w:bookmarkStart w:id="18" w:name="_Toc126930854"/>
      <w:r>
        <w:rPr>
          <w:rFonts w:ascii="Times New Roman" w:hAnsi="Times New Roman"/>
          <w:iCs/>
          <w:szCs w:val="28"/>
          <w:lang w:val="ru-RU"/>
        </w:rPr>
        <w:t xml:space="preserve">СПЕЦИАЛЬНЫЕ ПРАВИЛА КОМПЕТЕНЦИИ</w:t>
      </w:r>
      <w:bookmarkEnd w:id="17"/>
      <w:r/>
      <w:bookmarkEnd w:id="18"/>
      <w:r/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Правила компетенции детализируют, конкретизируют, уточняют и разъясняют элементы соревнования. Они не должны противоречить правилам чемпионата или иметь приоритет над ними.</w:t>
      </w:r>
      <w:r/>
    </w:p>
    <w:p>
      <w:pPr>
        <w:ind w:left="-566" w:firstLine="566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Количество рабочих мест на площадке должно строго соответствовать количеству аккредитованных участников конкурса.</w:t>
      </w:r>
      <w:r/>
    </w:p>
    <w:p>
      <w:pPr>
        <w:ind w:left="-566" w:firstLine="566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случае исключения (невыполнения) одного или нескольких из модулей конкурсного задания (инвариант исключать нельзя!), время на выполнение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уменьшается пропорционально времени, рекомендованного для выполнения данного модуля.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Участник может использовать на площадке материалы и оборудование, предоставляемые площадкой проведения соревнований в соответствии с ИЛ, а также материалы, принесенные им самостоятельно в соответствии с описанием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ИЛ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Эксперты имею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 право запретить использование любых предметов, которые будут сочтены не относящимися к выполнению конкурсного задания или же способными дать участнику несправедливое преимущество.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Для исключения споров, разногласий, решения вопросов, возникающих на конкурсной площадке,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подготовительный день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Экспертами подписывается Лист согласования, содержащий перечень нарушений Экспертом во время пр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ебывания на конкурсной площадке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Наказание Эксперта может заключаться в отстранении от процесса оценки и от любого контакта с Конкурсантами на Конкурсной площадке во время прове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дения соревнований, а также вычете у Конкурсанта, получившего преимущества, баллов пропорциональных величине приобретенного преимущества в момент совершения Экспертом нарушения. Лист согласования должен быть подписан всеми экспертами на площадке. Положения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вносимые в лист согласования не должны противоречить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Концепции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чемпионата.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Внештатные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ситуации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возникающие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любой другой день чемпионата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оформляю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тся протоколом внештатных ситуаций на общем собрании экспертов.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Если в лист согласования вносятся штрафные санкции для участников за нарушение Норм охраны труда,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Концепции чемпионата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то участники должны быть ознакомлены с возможными штрафными санкциями до начала соревнований.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Разъяснения по некоторым спорным ситуациям на конкурсной площадке представлены в таблице.</w:t>
      </w:r>
      <w:r/>
    </w:p>
    <w:p>
      <w:pPr>
        <w:pStyle w:val="933"/>
        <w:ind w:firstLine="709"/>
        <w:jc w:val="right"/>
        <w:spacing w:line="276" w:lineRule="auto"/>
        <w:widowControl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Таблица №5</w:t>
      </w:r>
      <w:r/>
    </w:p>
    <w:p>
      <w:pPr>
        <w:pStyle w:val="933"/>
        <w:ind w:firstLine="709"/>
        <w:jc w:val="center"/>
        <w:spacing w:line="276" w:lineRule="auto"/>
        <w:widowControl/>
        <w:rPr>
          <w:rFonts w:ascii="Times New Roman" w:hAnsi="Times New Roman"/>
          <w:b/>
          <w:bCs/>
          <w:iCs/>
          <w:szCs w:val="24"/>
          <w:lang w:val="ru-RU"/>
        </w:rPr>
      </w:pPr>
      <w:r>
        <w:rPr>
          <w:rFonts w:ascii="Times New Roman" w:hAnsi="Times New Roman"/>
          <w:b/>
          <w:szCs w:val="24"/>
          <w:lang w:eastAsia="ru-RU"/>
        </w:rPr>
        <w:t xml:space="preserve">Разъяснения</w:t>
      </w:r>
      <w:r>
        <w:rPr>
          <w:rFonts w:ascii="Times New Roman" w:hAnsi="Times New Roman"/>
          <w:b/>
          <w:bCs/>
          <w:iCs/>
          <w:szCs w:val="24"/>
          <w:lang w:val="ru-RU"/>
        </w:rPr>
        <w:t xml:space="preserve"> спорных ситуаций</w:t>
      </w:r>
      <w:r/>
    </w:p>
    <w:tbl>
      <w:tblPr>
        <w:tblStyle w:val="977"/>
        <w:tblW w:w="0" w:type="auto"/>
        <w:tblLook w:val="04A0" w:firstRow="1" w:lastRow="0" w:firstColumn="1" w:lastColumn="0" w:noHBand="0" w:noVBand="1"/>
      </w:tblPr>
      <w:tblGrid>
        <w:gridCol w:w="4042"/>
        <w:gridCol w:w="5587"/>
      </w:tblGrid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носителей внешней памяти,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диктофонов и других звукозаписывающих устройств (на планшете, в мобильном телефоне)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запрещено приносить и использовать все перечисленные устройства.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 запрещено использовать звукозаписывающие устройства 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contextualSpacing/>
              <w:ind w:left="0" w:firstLine="0"/>
              <w:jc w:val="both"/>
              <w:tabs>
                <w:tab w:val="left" w:pos="17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личных ноутбуков, планшетов, блокнотов, тетрадей, книг, шпаргалок, мобильных устройств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запрещено приносить и использовать все перечисленные устройства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contextualSpacing/>
              <w:ind w:left="0" w:firstLine="0"/>
              <w:jc w:val="both"/>
              <w:tabs>
                <w:tab w:val="left" w:pos="457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устройств для фото- и видеосъемки</w:t>
            </w:r>
            <w:r/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и Экспертам разрешено использовать устройства для фото- и видеосъемки на рабочей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площадке только по завершению соревнований либо только с разрешения ГЭ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нормативной и конкурсной документацией</w:t>
            </w:r>
            <w:r/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Экспертам запрещается выносить с конкурсной площадки бумажные или цифровые копии документов, относящихся к конкурсному заданию (методики, критерии оценки, бланки оценки, протоколы, инструкции) до момента завершения соревнований либо только с разрешения ГЭ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6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Сбой в работе оборудования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оборудования или инструме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нтов, предоставленных участнику Организатором конкурса, дополнительное время не будет предоставлено участнику, если Технический эксперт площадки сможет доказать, что технический сбой является ошибкой, неумением или результатом халатности данного участника.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6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участниками Норм охраны труда и техники безопасности, Регламента чемпионата, пунктов Технического описания, кодекса этики,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Участники, присутствующие на площадке должны неукоснительно соблюдать требования Норм охран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труда и техники безопасности.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незначительном нарушении требований данных документов участнику выносится замечание Главным экспертом. В случае грубого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экспертная группа рассматривает отдельно каждый факт, принимает решение о штрафных санкциях для участника в виде отстранения от выполнения модуля, либо вычета баллов за часть выполненного модуля. Решение оформляется протоколом внештатных ситуаций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6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конкурсного задания</w:t>
            </w:r>
            <w:r/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участник умышленно не выполнял экспериментальное задание (отдельный этап работы), нарушив требования НД, но запись в протоколе имеется и этот факт зарегистрирован не менее, чем у трёх экспертов, экспертная группа рассматривает отдельно каждый факт и в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учае, дающему участнику несправедливое преимущество, принимает решение о штрафных санкциях для участника в виде вычета всех баллов, либо вычета баллов за часть выполненного модуля, следующую за нарушением. Решение оформляется протоколом внештатных ситуаций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6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 представление </w:t>
            </w:r>
            <w:r/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измерений </w:t>
            </w:r>
            <w:r/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участником умышленно изменены результаты единичных измерений с целью получения несправедливого преимущества, и этот факт зарегист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рирован не менее, чем у трёх экспертов, экспертная группа рассматривает отдельно каждый факт и в случае дающему участнику несправедливое преимущество, принимает решение о снятии баллов за те критерии, в которых участник получил несправедливое преимущество.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6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протокола выполнения конкурсного задания.</w:t>
            </w:r>
            <w:r/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нарушении правил ведения протокола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(пользовании шпаргалками, использования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 черновиков листов фильтровальной бумаги, бланков методик и др.) экспертная группа рассматривает отдельно каждый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 и в случае дающему участнику несправедливое преимущество, принимает решение о снятии баллов за те критерии, в которых участник получил несправедливое преимущество. Участник должен незамедлительно сдать посторонние записи по запросу экспертной группы.</w:t>
            </w:r>
            <w:r/>
          </w:p>
          <w:p>
            <w:pPr>
              <w:jc w:val="both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Запрещается заполнения протокола в первые 15 минут знакомства с заданием модуля и по окончании времени выполнения модуля.</w:t>
            </w:r>
            <w:r/>
          </w:p>
        </w:tc>
      </w:tr>
    </w:tbl>
    <w:p>
      <w:pPr>
        <w:ind w:firstLine="709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решения спорных ситуаций, возникающих во время выполнения Конкурсного задания, рекомендуется использовать камеры видеонаблюдения. Решение о необходимости установки камер видеонаблюдения принимает Главный эксперт чемпионата</w:t>
      </w:r>
      <w:r/>
    </w:p>
    <w:p>
      <w:pPr>
        <w:jc w:val="both"/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54"/>
        <w:jc w:val="both"/>
        <w:spacing w:before="0" w:after="0" w:line="276" w:lineRule="auto"/>
        <w:rPr>
          <w:rFonts w:ascii="Times New Roman" w:hAnsi="Times New Roman"/>
          <w:szCs w:val="28"/>
        </w:rPr>
      </w:pPr>
      <w:r/>
      <w:bookmarkStart w:id="19" w:name="_Toc78885659"/>
      <w:r/>
      <w:bookmarkStart w:id="20" w:name="_Toc126930855"/>
      <w:r>
        <w:rPr>
          <w:rFonts w:ascii="Times New Roman" w:hAnsi="Times New Roman"/>
          <w:color w:val="000000"/>
          <w:szCs w:val="28"/>
        </w:rPr>
        <w:t xml:space="preserve">2</w:t>
      </w:r>
      <w:r>
        <w:rPr>
          <w:rFonts w:ascii="Times New Roman" w:hAnsi="Times New Roman"/>
          <w:color w:val="000000"/>
          <w:szCs w:val="28"/>
        </w:rPr>
        <w:t xml:space="preserve">.</w:t>
      </w:r>
      <w:r>
        <w:rPr>
          <w:rFonts w:ascii="Times New Roman" w:hAnsi="Times New Roman"/>
          <w:color w:val="000000"/>
          <w:szCs w:val="28"/>
        </w:rPr>
        <w:t xml:space="preserve">1</w:t>
      </w:r>
      <w:r>
        <w:rPr>
          <w:rFonts w:ascii="Times New Roman" w:hAnsi="Times New Roman"/>
          <w:color w:val="000000"/>
          <w:szCs w:val="28"/>
        </w:rPr>
        <w:t xml:space="preserve">. </w:t>
      </w:r>
      <w:bookmarkEnd w:id="19"/>
      <w:r>
        <w:rPr>
          <w:rFonts w:ascii="Times New Roman" w:hAnsi="Times New Roman"/>
          <w:bCs/>
          <w:iCs/>
          <w:szCs w:val="28"/>
        </w:rPr>
        <w:t xml:space="preserve">Личный инструмент конкурсанта</w:t>
      </w:r>
      <w:bookmarkEnd w:id="20"/>
      <w:r/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Неопределенный - можно привезти оборудование по списку, кроме запрещенного.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/>
      <w:bookmarkStart w:id="21" w:name="_Toc78885660"/>
      <w:r>
        <w:rPr>
          <w:rFonts w:ascii="Times New Roman" w:hAnsi="Times New Roman" w:eastAsia="Times New Roman" w:cs="Times New Roman"/>
          <w:sz w:val="28"/>
          <w:szCs w:val="28"/>
        </w:rPr>
        <w:t xml:space="preserve">Инструментальный ящик Конкурсанта является набором необходимых инструментов, который может быть принесен на площадку самим Конкурсантом в пластиковом контейнере либо в целлофановом (бумажном) пакете.</w:t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Состав инструментального ящика участника: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Спецодежда: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Халат защитный (комбинезон, костюм)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Закрытая обувь на низкой устойчивой подошве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Шапочка для волос</w:t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Средства индивидуальной защиты: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Перчатки резиновые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 Очки защитные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Маска защитная тканевая (респиратор)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Перчатки ХБ тканевые</w:t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Вспомогательные материалы: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Резиновые груши (средняя и маленькая)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Тканевые салфетки для выполнения работ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Калькулятор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Ручка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Карандаш</w:t>
      </w:r>
      <w:r/>
    </w:p>
    <w:p>
      <w:pPr>
        <w:pStyle w:val="896"/>
        <w:ind w:firstLine="709"/>
        <w:spacing w:before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Маркер</w:t>
      </w:r>
      <w:r/>
    </w:p>
    <w:p>
      <w:pPr>
        <w:pStyle w:val="954"/>
        <w:spacing w:before="0" w:after="0"/>
        <w:rPr>
          <w:rFonts w:ascii="Times New Roman" w:hAnsi="Times New Roman"/>
        </w:rPr>
      </w:pPr>
      <w:r/>
      <w:bookmarkStart w:id="22" w:name="_Toc126930856"/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.2.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Материалы, оборудование и инструменты, запрещенные на площадке</w:t>
      </w:r>
      <w:bookmarkEnd w:id="21"/>
      <w:r/>
      <w:bookmarkEnd w:id="22"/>
      <w:r/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Любые материалы и оборудование, имеющиеся при себе у участников, необх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одимо предъявить экспертам. Эксперты имею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 право запретить использование любых предметов, которые будут сочтены не относящимися к химическому анализу или же способными дать участни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ку несправедливое преимущество.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Участникам запрещено приносить в рабочую зону:</w:t>
      </w:r>
      <w:r/>
    </w:p>
    <w:p>
      <w:pPr>
        <w:numPr>
          <w:ilvl w:val="0"/>
          <w:numId w:val="27"/>
        </w:numPr>
        <w:ind w:left="0" w:firstLine="709"/>
        <w:jc w:val="both"/>
        <w:spacing w:after="0" w:line="276" w:lineRule="auto"/>
        <w:widowControl w:val="off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Книги, блокноты, тетради</w:t>
      </w:r>
      <w:r/>
    </w:p>
    <w:p>
      <w:pPr>
        <w:numPr>
          <w:ilvl w:val="0"/>
          <w:numId w:val="27"/>
        </w:numPr>
        <w:ind w:left="0" w:firstLine="709"/>
        <w:jc w:val="both"/>
        <w:spacing w:after="0" w:line="276" w:lineRule="auto"/>
        <w:widowControl w:val="off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Портативные компьютеры</w:t>
      </w:r>
      <w:r/>
    </w:p>
    <w:p>
      <w:pPr>
        <w:numPr>
          <w:ilvl w:val="0"/>
          <w:numId w:val="27"/>
        </w:numPr>
        <w:ind w:left="0" w:firstLine="709"/>
        <w:jc w:val="both"/>
        <w:spacing w:after="0" w:line="276" w:lineRule="auto"/>
        <w:widowControl w:val="off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Сотовые телефоны, смартфоны</w:t>
      </w:r>
      <w:r/>
    </w:p>
    <w:p>
      <w:pPr>
        <w:numPr>
          <w:ilvl w:val="0"/>
          <w:numId w:val="27"/>
        </w:numPr>
        <w:ind w:left="0" w:firstLine="709"/>
        <w:jc w:val="both"/>
        <w:spacing w:after="0" w:line="276" w:lineRule="auto"/>
        <w:widowControl w:val="off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Планшеты</w:t>
      </w:r>
      <w:r/>
    </w:p>
    <w:p>
      <w:pPr>
        <w:numPr>
          <w:ilvl w:val="0"/>
          <w:numId w:val="27"/>
        </w:numPr>
        <w:ind w:left="0" w:firstLine="709"/>
        <w:jc w:val="both"/>
        <w:spacing w:after="0" w:line="276" w:lineRule="auto"/>
        <w:widowControl w:val="off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Другие электронные устройства связи</w:t>
      </w:r>
      <w:r/>
    </w:p>
    <w:p>
      <w:pPr>
        <w:pStyle w:val="953"/>
        <w:jc w:val="both"/>
        <w:spacing w:after="0" w:line="276" w:lineRule="auto"/>
        <w:rPr>
          <w:rFonts w:ascii="Times New Roman" w:hAnsi="Times New Roman" w:eastAsia="Calibri"/>
          <w:color w:val="auto"/>
          <w:sz w:val="28"/>
          <w:szCs w:val="28"/>
          <w:lang w:eastAsia="ru-RU"/>
        </w:rPr>
      </w:pPr>
      <w:r/>
      <w:bookmarkStart w:id="23" w:name="_Toc126930857"/>
      <w:r>
        <w:rPr>
          <w:rFonts w:ascii="Times New Roman" w:hAnsi="Times New Roman" w:eastAsia="Calibri"/>
          <w:color w:val="auto"/>
          <w:sz w:val="28"/>
          <w:szCs w:val="28"/>
          <w:lang w:eastAsia="ru-RU"/>
        </w:rPr>
        <w:t xml:space="preserve">В случае обнаружения таких предметов они будут конфискованы с возвратом по окончании проведения конкурса.</w:t>
      </w:r>
      <w:bookmarkEnd w:id="23"/>
      <w:r/>
      <w:r/>
    </w:p>
    <w:p>
      <w:pPr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/>
          <w:b/>
          <w:bCs/>
          <w:caps/>
          <w:sz w:val="28"/>
          <w:szCs w:val="28"/>
          <w:lang w:eastAsia="ru-RU"/>
        </w:rPr>
        <w:br w:type="page" w:clear="all"/>
      </w:r>
      <w:r/>
    </w:p>
    <w:p>
      <w:pPr>
        <w:pStyle w:val="895"/>
        <w:spacing w:before="0" w:after="0"/>
        <w:rPr>
          <w:rFonts w:ascii="Times New Roman" w:hAnsi="Times New Roman"/>
          <w:caps/>
          <w:lang w:val="ru-RU"/>
        </w:rPr>
      </w:pPr>
      <w:r/>
      <w:bookmarkStart w:id="24" w:name="_Toc126930858"/>
      <w:r>
        <w:rPr>
          <w:rFonts w:ascii="Times New Roman" w:hAnsi="Times New Roman"/>
          <w:lang w:val="ru-RU"/>
        </w:rPr>
        <w:t xml:space="preserve">3</w:t>
      </w:r>
      <w:r>
        <w:rPr>
          <w:rFonts w:ascii="Times New Roman" w:hAnsi="Times New Roman"/>
          <w:lang w:val="ru-RU"/>
        </w:rPr>
        <w:t xml:space="preserve">. </w:t>
      </w:r>
      <w:r>
        <w:rPr>
          <w:rFonts w:ascii="Times New Roman" w:hAnsi="Times New Roman"/>
          <w:lang w:val="ru-RU"/>
        </w:rPr>
        <w:t xml:space="preserve">ПРИЛОЖЕНИЯ</w:t>
      </w:r>
      <w:bookmarkEnd w:id="24"/>
      <w:r/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Инструкция по заполнению матрицы конкурсн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>
        <w:rPr>
          <w:rFonts w:ascii="Times New Roman" w:hAnsi="Times New Roman" w:cs="Times New Roman"/>
          <w:sz w:val="28"/>
          <w:szCs w:val="28"/>
        </w:rPr>
        <w:t xml:space="preserve">Матрица конкурсн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Критерии оценки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№4 Инструкция по охране труда и технике безопасности по компетенции «Лабораторный химический анализ»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№5 Модуль «А» Нормативный документ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№6 Модуль «Б» Нормативный документ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№7 Модуль «В» Нормативный документ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№8 Модуль «Г» Нормативный документ</w:t>
      </w:r>
      <w:r/>
    </w:p>
    <w:p>
      <w:pPr>
        <w:pStyle w:val="954"/>
        <w:jc w:val="both"/>
        <w:spacing w:before="0" w:after="0" w:line="276" w:lineRule="auto"/>
        <w:rPr>
          <w:rFonts w:ascii="Times New Roman" w:hAnsi="Times New Roman" w:eastAsia="Arial Unicode MS"/>
          <w:i/>
          <w:szCs w:val="28"/>
        </w:rPr>
      </w:pPr>
      <w:r>
        <w:rPr>
          <w:rFonts w:ascii="Times New Roman" w:hAnsi="Times New Roman" w:eastAsia="Arial Unicode MS"/>
          <w:i/>
          <w:szCs w:val="28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49" w:bottom="1134" w:left="1418" w:header="624" w:footer="170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utiger LT CYR 45 Light">
    <w:panose1 w:val="02000000000000000000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DejaVu Sans">
    <w:panose1 w:val="020B0603030804020204"/>
  </w:font>
  <w:font w:name="Noto Sans Symbols">
    <w:panose1 w:val="020B0502040504020204"/>
  </w:font>
  <w:font w:name="Cambria">
    <w:panose1 w:val="02040503050406030204"/>
  </w:font>
  <w:font w:name="Calibri">
    <w:panose1 w:val="020F0502020204030204"/>
  </w:font>
  <w:font w:name="FrutigerLTStd-Light">
    <w:panose1 w:val="02000000000000000000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775345"/>
      <w:docPartObj>
        <w:docPartGallery w:val="Page Numbers (Bottom of Page)"/>
        <w:docPartUnique w:val="true"/>
      </w:docPartObj>
      <w:rPr/>
    </w:sdtPr>
    <w:sdtContent>
      <w:p>
        <w:pPr>
          <w:pStyle w:val="90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90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  <w:tabs>
        <w:tab w:val="clear" w:pos="9355" w:leader="none"/>
        <w:tab w:val="right" w:pos="10631" w:leader="none"/>
      </w:tabs>
      <w:rPr>
        <w:lang w:val="en-US"/>
      </w:rPr>
    </w:pPr>
    <w:r>
      <w:rPr>
        <w:lang w:val="en-US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pStyle w:val="972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pStyle w:val="946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78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5"/>
      <w:numFmt w:val="decimal"/>
      <w:isLgl/>
      <w:suff w:val="tab"/>
      <w:lvlText w:val="%1.%2"/>
      <w:lvlJc w:val="left"/>
      <w:pPr>
        <w:ind w:left="1354" w:hanging="645"/>
      </w:pPr>
    </w:lvl>
    <w:lvl w:ilvl="2">
      <w:start w:val="4"/>
      <w:numFmt w:val="decimal"/>
      <w:isLgl/>
      <w:suff w:val="tab"/>
      <w:lvlText w:val="%1.%2.%3"/>
      <w:lvlJc w:val="left"/>
      <w:pPr>
        <w:ind w:left="1429" w:hanging="720"/>
      </w:pPr>
    </w:lvl>
    <w:lvl w:ilvl="3">
      <w:start w:val="1"/>
      <w:numFmt w:val="decimal"/>
      <w:isLgl/>
      <w:suff w:val="tab"/>
      <w:lvlText w:val="%1.%2.%3.%4"/>
      <w:lvlJc w:val="left"/>
      <w:pPr>
        <w:ind w:left="1789" w:hanging="1080"/>
      </w:pPr>
    </w:lvl>
    <w:lvl w:ilvl="4">
      <w:start w:val="1"/>
      <w:numFmt w:val="decimal"/>
      <w:isLgl/>
      <w:suff w:val="tab"/>
      <w:lvlText w:val="%1.%2.%3.%4.%5"/>
      <w:lvlJc w:val="left"/>
      <w:pPr>
        <w:ind w:left="1789" w:hanging="1080"/>
      </w:pPr>
    </w:lvl>
    <w:lvl w:ilvl="5">
      <w:start w:val="1"/>
      <w:numFmt w:val="decimal"/>
      <w:isLgl/>
      <w:suff w:val="tab"/>
      <w:lvlText w:val="%1.%2.%3.%4.%5.%6"/>
      <w:lvlJc w:val="left"/>
      <w:pPr>
        <w:ind w:left="2149" w:hanging="1440"/>
      </w:pPr>
    </w:lvl>
    <w:lvl w:ilvl="6">
      <w:start w:val="1"/>
      <w:numFmt w:val="decimal"/>
      <w:isLgl/>
      <w:suff w:val="tab"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suff w:val="tab"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suff w:val="tab"/>
      <w:lvlText w:val="%1.%2.%3.%4.%5.%6.%7.%8.%9"/>
      <w:lvlJc w:val="left"/>
      <w:pPr>
        <w:ind w:left="2869" w:hanging="2160"/>
      </w:pPr>
    </w:lvl>
  </w:abstractNum>
  <w:abstractNum w:abstractNumId="11">
    <w:multiLevelType w:val="hybridMultilevel"/>
    <w:lvl w:ilvl="0">
      <w:start w:val="1"/>
      <w:numFmt w:val="bullet"/>
      <w:pStyle w:val="960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isLgl w:val="false"/>
      <w:suff w:val="tab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pStyle w:val="928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isLgl w:val="false"/>
      <w:suff w:val="tab"/>
      <w:lvlText w:val="%1.%2."/>
      <w:lvlJc w:val="left"/>
      <w:pPr>
        <w:ind w:left="502" w:hanging="360"/>
      </w:pPr>
      <w:rPr>
        <w:rFonts w:ascii="Times New Roman" w:hAnsi="Times New Roman" w:eastAsia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isLgl w:val="false"/>
      <w:suff w:val="tab"/>
      <w:lvlText w:val="●"/>
      <w:lvlJc w:val="left"/>
      <w:pPr>
        <w:ind w:left="1800" w:hanging="720"/>
      </w:pPr>
      <w:rPr>
        <w:rFonts w:ascii="Noto Sans Symbols" w:hAnsi="Noto Sans Symbols" w:eastAsia="Noto Sans Symbols" w:cs="Noto Sans Symbols"/>
      </w:rPr>
    </w:lvl>
    <w:lvl w:ilvl="3">
      <w:start w:val="1"/>
      <w:numFmt w:val="decimal"/>
      <w:isLgl w:val="false"/>
      <w:suff w:val="tab"/>
      <w:lvlText w:val="%1.%2.●.%4."/>
      <w:lvlJc w:val="left"/>
      <w:pPr>
        <w:ind w:left="2160" w:hanging="720"/>
      </w:pPr>
    </w:lvl>
    <w:lvl w:ilvl="4">
      <w:start w:val="1"/>
      <w:numFmt w:val="decimal"/>
      <w:isLgl w:val="false"/>
      <w:suff w:val="tab"/>
      <w:lvlText w:val="%1.%2.●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●.%4.%5.%6."/>
      <w:lvlJc w:val="left"/>
      <w:pPr>
        <w:ind w:left="3240" w:hanging="1080"/>
      </w:pPr>
    </w:lvl>
    <w:lvl w:ilvl="6">
      <w:start w:val="1"/>
      <w:numFmt w:val="decimal"/>
      <w:isLgl w:val="false"/>
      <w:suff w:val="tab"/>
      <w:lvlText w:val="%1.%2.●.%4.%5.%6.%7.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●.%4.%5.%6.%7.%8."/>
      <w:lvlJc w:val="left"/>
      <w:pPr>
        <w:ind w:left="4320" w:hanging="1440"/>
      </w:pPr>
    </w:lvl>
    <w:lvl w:ilvl="8">
      <w:start w:val="1"/>
      <w:numFmt w:val="decimal"/>
      <w:isLgl w:val="false"/>
      <w:suff w:val="tab"/>
      <w:lvlText w:val="%1.%2.●.%4.%5.%6.%7.%8.%9."/>
      <w:lvlJc w:val="left"/>
      <w:pPr>
        <w:ind w:left="5040" w:hanging="180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pStyle w:val="978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30" w:hanging="630"/>
      </w:pPr>
    </w:lvl>
    <w:lvl w:ilvl="1">
      <w:start w:val="9"/>
      <w:numFmt w:val="decimal"/>
      <w:isLgl w:val="false"/>
      <w:suff w:val="tab"/>
      <w:lvlText w:val="%1.%2."/>
      <w:lvlJc w:val="left"/>
      <w:pPr>
        <w:ind w:left="164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56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84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76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0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33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25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536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70" w:hanging="180"/>
      </w:pPr>
    </w:lvl>
  </w:abstractNum>
  <w:num w:numId="1">
    <w:abstractNumId w:val="17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2"/>
  </w:num>
  <w:num w:numId="7">
    <w:abstractNumId w:val="4"/>
  </w:num>
  <w:num w:numId="8">
    <w:abstractNumId w:val="7"/>
  </w:num>
  <w:num w:numId="9">
    <w:abstractNumId w:val="21"/>
  </w:num>
  <w:num w:numId="10">
    <w:abstractNumId w:val="9"/>
  </w:num>
  <w:num w:numId="11">
    <w:abstractNumId w:val="5"/>
  </w:num>
  <w:num w:numId="12">
    <w:abstractNumId w:val="13"/>
  </w:num>
  <w:num w:numId="13">
    <w:abstractNumId w:val="25"/>
  </w:num>
  <w:num w:numId="14">
    <w:abstractNumId w:val="14"/>
  </w:num>
  <w:num w:numId="15">
    <w:abstractNumId w:val="22"/>
  </w:num>
  <w:num w:numId="16">
    <w:abstractNumId w:val="27"/>
  </w:num>
  <w:num w:numId="17">
    <w:abstractNumId w:val="23"/>
  </w:num>
  <w:num w:numId="18">
    <w:abstractNumId w:val="20"/>
  </w:num>
  <w:num w:numId="19">
    <w:abstractNumId w:val="16"/>
  </w:num>
  <w:num w:numId="20">
    <w:abstractNumId w:val="19"/>
  </w:num>
  <w:num w:numId="21">
    <w:abstractNumId w:val="15"/>
  </w:num>
  <w:num w:numId="22">
    <w:abstractNumId w:val="6"/>
  </w:num>
  <w:num w:numId="23">
    <w:abstractNumId w:val="0"/>
  </w:num>
  <w:num w:numId="24">
    <w:abstractNumId w:val="26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"/>
  </w:num>
  <w:num w:numId="29">
    <w:abstractNumId w:val="28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7">
    <w:name w:val="Heading 1 Char"/>
    <w:basedOn w:val="903"/>
    <w:link w:val="894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03"/>
    <w:link w:val="895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03"/>
    <w:link w:val="896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03"/>
    <w:link w:val="897"/>
    <w:uiPriority w:val="9"/>
    <w:rPr>
      <w:rFonts w:ascii="Arial" w:hAnsi="Arial" w:eastAsia="Arial" w:cs="Arial"/>
      <w:b/>
      <w:bCs/>
      <w:sz w:val="26"/>
      <w:szCs w:val="26"/>
    </w:rPr>
  </w:style>
  <w:style w:type="character" w:styleId="741">
    <w:name w:val="Heading 5 Char"/>
    <w:basedOn w:val="903"/>
    <w:link w:val="898"/>
    <w:uiPriority w:val="9"/>
    <w:rPr>
      <w:rFonts w:ascii="Arial" w:hAnsi="Arial" w:eastAsia="Arial" w:cs="Arial"/>
      <w:b/>
      <w:bCs/>
      <w:sz w:val="24"/>
      <w:szCs w:val="24"/>
    </w:rPr>
  </w:style>
  <w:style w:type="character" w:styleId="742">
    <w:name w:val="Heading 6 Char"/>
    <w:basedOn w:val="903"/>
    <w:link w:val="899"/>
    <w:uiPriority w:val="9"/>
    <w:rPr>
      <w:rFonts w:ascii="Arial" w:hAnsi="Arial" w:eastAsia="Arial" w:cs="Arial"/>
      <w:b/>
      <w:bCs/>
      <w:sz w:val="22"/>
      <w:szCs w:val="22"/>
    </w:rPr>
  </w:style>
  <w:style w:type="character" w:styleId="743">
    <w:name w:val="Heading 7 Char"/>
    <w:basedOn w:val="903"/>
    <w:link w:val="9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4">
    <w:name w:val="Heading 8 Char"/>
    <w:basedOn w:val="903"/>
    <w:link w:val="901"/>
    <w:uiPriority w:val="9"/>
    <w:rPr>
      <w:rFonts w:ascii="Arial" w:hAnsi="Arial" w:eastAsia="Arial" w:cs="Arial"/>
      <w:i/>
      <w:iCs/>
      <w:sz w:val="22"/>
      <w:szCs w:val="22"/>
    </w:rPr>
  </w:style>
  <w:style w:type="character" w:styleId="745">
    <w:name w:val="Heading 9 Char"/>
    <w:basedOn w:val="903"/>
    <w:link w:val="902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Title"/>
    <w:basedOn w:val="893"/>
    <w:next w:val="893"/>
    <w:link w:val="74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7">
    <w:name w:val="Title Char"/>
    <w:basedOn w:val="903"/>
    <w:link w:val="746"/>
    <w:uiPriority w:val="10"/>
    <w:rPr>
      <w:sz w:val="48"/>
      <w:szCs w:val="48"/>
    </w:rPr>
  </w:style>
  <w:style w:type="paragraph" w:styleId="748">
    <w:name w:val="Subtitle"/>
    <w:basedOn w:val="893"/>
    <w:next w:val="893"/>
    <w:link w:val="749"/>
    <w:uiPriority w:val="11"/>
    <w:qFormat/>
    <w:pPr>
      <w:spacing w:before="200" w:after="200"/>
    </w:pPr>
    <w:rPr>
      <w:sz w:val="24"/>
      <w:szCs w:val="24"/>
    </w:rPr>
  </w:style>
  <w:style w:type="character" w:styleId="749">
    <w:name w:val="Subtitle Char"/>
    <w:basedOn w:val="903"/>
    <w:link w:val="748"/>
    <w:uiPriority w:val="11"/>
    <w:rPr>
      <w:sz w:val="24"/>
      <w:szCs w:val="24"/>
    </w:rPr>
  </w:style>
  <w:style w:type="paragraph" w:styleId="750">
    <w:name w:val="Quote"/>
    <w:basedOn w:val="893"/>
    <w:next w:val="893"/>
    <w:link w:val="751"/>
    <w:uiPriority w:val="29"/>
    <w:qFormat/>
    <w:pPr>
      <w:ind w:left="720" w:right="720"/>
    </w:pPr>
    <w:rPr>
      <w:i/>
    </w:rPr>
  </w:style>
  <w:style w:type="character" w:styleId="751">
    <w:name w:val="Quote Char"/>
    <w:link w:val="750"/>
    <w:uiPriority w:val="29"/>
    <w:rPr>
      <w:i/>
    </w:rPr>
  </w:style>
  <w:style w:type="paragraph" w:styleId="752">
    <w:name w:val="Intense Quote"/>
    <w:basedOn w:val="893"/>
    <w:next w:val="893"/>
    <w:link w:val="75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3">
    <w:name w:val="Intense Quote Char"/>
    <w:link w:val="752"/>
    <w:uiPriority w:val="30"/>
    <w:rPr>
      <w:i/>
    </w:rPr>
  </w:style>
  <w:style w:type="character" w:styleId="754">
    <w:name w:val="Header Char"/>
    <w:basedOn w:val="903"/>
    <w:link w:val="906"/>
    <w:uiPriority w:val="99"/>
  </w:style>
  <w:style w:type="character" w:styleId="755">
    <w:name w:val="Footer Char"/>
    <w:basedOn w:val="903"/>
    <w:link w:val="908"/>
    <w:uiPriority w:val="99"/>
  </w:style>
  <w:style w:type="character" w:styleId="756">
    <w:name w:val="Caption Char"/>
    <w:basedOn w:val="939"/>
    <w:link w:val="908"/>
    <w:uiPriority w:val="99"/>
  </w:style>
  <w:style w:type="table" w:styleId="757">
    <w:name w:val="Table Grid Light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Plain Table 1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2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>
    <w:name w:val="Plain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Plain Table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>
    <w:name w:val="Grid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5">
    <w:name w:val="Grid Table 4 - Accent 1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6">
    <w:name w:val="Grid Table 4 - Accent 2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Grid Table 4 - Accent 3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8">
    <w:name w:val="Grid Table 4 - Accent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Grid Table 4 - Accent 5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0">
    <w:name w:val="Grid Table 4 - Accent 6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1">
    <w:name w:val="Grid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8">
    <w:name w:val="Grid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9">
    <w:name w:val="Grid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0">
    <w:name w:val="Grid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1">
    <w:name w:val="Grid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2">
    <w:name w:val="Grid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3">
    <w:name w:val="Grid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5">
    <w:name w:val="Grid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0">
    <w:name w:val="List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1">
    <w:name w:val="List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2">
    <w:name w:val="List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3">
    <w:name w:val="List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4">
    <w:name w:val="List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5">
    <w:name w:val="List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6">
    <w:name w:val="List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8">
    <w:name w:val="List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9">
    <w:name w:val="List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0">
    <w:name w:val="List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1">
    <w:name w:val="List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2">
    <w:name w:val="List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3">
    <w:name w:val="List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4">
    <w:name w:val="List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5">
    <w:name w:val="List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56">
    <w:name w:val="List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7">
    <w:name w:val="List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8">
    <w:name w:val="List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9">
    <w:name w:val="List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60">
    <w:name w:val="List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1">
    <w:name w:val="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3">
    <w:name w:val="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4">
    <w:name w:val="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5">
    <w:name w:val="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6">
    <w:name w:val="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7">
    <w:name w:val="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8">
    <w:name w:val="Bordered &amp; 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Bordered &amp; 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0">
    <w:name w:val="Bordered &amp; 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1">
    <w:name w:val="Bordered &amp; 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2">
    <w:name w:val="Bordered &amp; 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3">
    <w:name w:val="Bordered &amp; 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4">
    <w:name w:val="Bordered &amp; 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5">
    <w:name w:val="Bordered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6">
    <w:name w:val="Bordered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7">
    <w:name w:val="Bordered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8">
    <w:name w:val="Bordered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9">
    <w:name w:val="Bordered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0">
    <w:name w:val="Bordered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1">
    <w:name w:val="Bordered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2">
    <w:name w:val="Footnote Text Char"/>
    <w:link w:val="942"/>
    <w:uiPriority w:val="99"/>
    <w:rPr>
      <w:sz w:val="18"/>
    </w:rPr>
  </w:style>
  <w:style w:type="paragraph" w:styleId="883">
    <w:name w:val="endnote text"/>
    <w:basedOn w:val="893"/>
    <w:link w:val="884"/>
    <w:uiPriority w:val="99"/>
    <w:semiHidden/>
    <w:unhideWhenUsed/>
    <w:pPr>
      <w:spacing w:after="0" w:line="240" w:lineRule="auto"/>
    </w:pPr>
    <w:rPr>
      <w:sz w:val="20"/>
    </w:rPr>
  </w:style>
  <w:style w:type="character" w:styleId="884">
    <w:name w:val="Endnote Text Char"/>
    <w:link w:val="883"/>
    <w:uiPriority w:val="99"/>
    <w:rPr>
      <w:sz w:val="20"/>
    </w:rPr>
  </w:style>
  <w:style w:type="character" w:styleId="885">
    <w:name w:val="endnote reference"/>
    <w:basedOn w:val="903"/>
    <w:uiPriority w:val="99"/>
    <w:semiHidden/>
    <w:unhideWhenUsed/>
    <w:rPr>
      <w:vertAlign w:val="superscript"/>
    </w:rPr>
  </w:style>
  <w:style w:type="paragraph" w:styleId="886">
    <w:name w:val="toc 4"/>
    <w:basedOn w:val="893"/>
    <w:next w:val="893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3"/>
    <w:next w:val="893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3"/>
    <w:next w:val="893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3"/>
    <w:next w:val="893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3"/>
    <w:next w:val="893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3"/>
    <w:next w:val="893"/>
    <w:uiPriority w:val="39"/>
    <w:unhideWhenUsed/>
    <w:pPr>
      <w:ind w:left="2268" w:right="0" w:firstLine="0"/>
      <w:spacing w:after="57"/>
    </w:pPr>
  </w:style>
  <w:style w:type="paragraph" w:styleId="892">
    <w:name w:val="table of figures"/>
    <w:basedOn w:val="893"/>
    <w:next w:val="893"/>
    <w:uiPriority w:val="99"/>
    <w:unhideWhenUsed/>
    <w:pPr>
      <w:spacing w:after="0" w:afterAutospacing="0"/>
    </w:pPr>
  </w:style>
  <w:style w:type="paragraph" w:styleId="893" w:default="1">
    <w:name w:val="Normal"/>
    <w:qFormat/>
  </w:style>
  <w:style w:type="paragraph" w:styleId="894">
    <w:name w:val="Heading 1"/>
    <w:basedOn w:val="893"/>
    <w:next w:val="893"/>
    <w:link w:val="915"/>
    <w:qFormat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895">
    <w:name w:val="Heading 2"/>
    <w:basedOn w:val="893"/>
    <w:next w:val="893"/>
    <w:link w:val="916"/>
    <w:qFormat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896">
    <w:name w:val="Heading 3"/>
    <w:basedOn w:val="893"/>
    <w:next w:val="893"/>
    <w:link w:val="917"/>
    <w:qFormat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897">
    <w:name w:val="Heading 4"/>
    <w:basedOn w:val="893"/>
    <w:next w:val="893"/>
    <w:link w:val="918"/>
    <w:qFormat/>
    <w:pPr>
      <w:keepNext/>
      <w:spacing w:after="0" w:line="360" w:lineRule="auto"/>
      <w:widowControl w:val="off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898">
    <w:name w:val="Heading 5"/>
    <w:basedOn w:val="893"/>
    <w:next w:val="893"/>
    <w:link w:val="919"/>
    <w:qFormat/>
    <w:pPr>
      <w:jc w:val="both"/>
      <w:keepNext/>
      <w:spacing w:after="0" w:line="360" w:lineRule="auto"/>
      <w:widowControl w:val="off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899">
    <w:name w:val="Heading 6"/>
    <w:basedOn w:val="893"/>
    <w:next w:val="893"/>
    <w:link w:val="920"/>
    <w:qFormat/>
    <w:pPr>
      <w:keepNext/>
      <w:spacing w:after="58" w:line="360" w:lineRule="auto"/>
      <w:widowControl w:val="off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900">
    <w:name w:val="Heading 7"/>
    <w:basedOn w:val="893"/>
    <w:next w:val="893"/>
    <w:link w:val="921"/>
    <w:qFormat/>
    <w:pPr>
      <w:jc w:val="both"/>
      <w:keepNext/>
      <w:spacing w:after="0" w:line="360" w:lineRule="auto"/>
      <w:widowControl w:val="off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01">
    <w:name w:val="Heading 8"/>
    <w:basedOn w:val="893"/>
    <w:next w:val="893"/>
    <w:link w:val="922"/>
    <w:qFormat/>
    <w:pPr>
      <w:jc w:val="both"/>
      <w:keepNext/>
      <w:spacing w:after="0" w:line="360" w:lineRule="auto"/>
      <w:widowControl w:val="off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902">
    <w:name w:val="Heading 9"/>
    <w:basedOn w:val="893"/>
    <w:next w:val="893"/>
    <w:link w:val="923"/>
    <w:qFormat/>
    <w:pPr>
      <w:ind w:left="360" w:firstLine="360"/>
      <w:jc w:val="both"/>
      <w:keepNext/>
      <w:spacing w:after="0" w:line="360" w:lineRule="auto"/>
      <w:widowControl w:val="off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03" w:default="1">
    <w:name w:val="Default Paragraph Font"/>
    <w:uiPriority w:val="1"/>
    <w:semiHidden/>
    <w:unhideWhenUsed/>
  </w:style>
  <w:style w:type="table" w:styleId="9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5" w:default="1">
    <w:name w:val="No List"/>
    <w:uiPriority w:val="99"/>
    <w:semiHidden/>
    <w:unhideWhenUsed/>
  </w:style>
  <w:style w:type="paragraph" w:styleId="906">
    <w:name w:val="Header"/>
    <w:basedOn w:val="893"/>
    <w:link w:val="90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7" w:customStyle="1">
    <w:name w:val="Верхний колонтитул Знак"/>
    <w:basedOn w:val="903"/>
    <w:link w:val="906"/>
    <w:uiPriority w:val="99"/>
  </w:style>
  <w:style w:type="paragraph" w:styleId="908">
    <w:name w:val="Footer"/>
    <w:basedOn w:val="893"/>
    <w:link w:val="90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9" w:customStyle="1">
    <w:name w:val="Нижний колонтитул Знак"/>
    <w:basedOn w:val="903"/>
    <w:link w:val="908"/>
    <w:uiPriority w:val="99"/>
  </w:style>
  <w:style w:type="paragraph" w:styleId="910">
    <w:name w:val="No Spacing"/>
    <w:link w:val="911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11" w:customStyle="1">
    <w:name w:val="Без интервала Знак"/>
    <w:basedOn w:val="903"/>
    <w:link w:val="910"/>
    <w:uiPriority w:val="1"/>
    <w:rPr>
      <w:rFonts w:eastAsiaTheme="minorEastAsia"/>
      <w:lang w:eastAsia="ru-RU"/>
    </w:rPr>
  </w:style>
  <w:style w:type="character" w:styleId="912">
    <w:name w:val="Placeholder Text"/>
    <w:basedOn w:val="903"/>
    <w:uiPriority w:val="99"/>
    <w:semiHidden/>
    <w:rPr>
      <w:color w:val="808080"/>
    </w:rPr>
  </w:style>
  <w:style w:type="paragraph" w:styleId="913">
    <w:name w:val="Balloon Text"/>
    <w:basedOn w:val="893"/>
    <w:link w:val="914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4" w:customStyle="1">
    <w:name w:val="Текст выноски Знак"/>
    <w:basedOn w:val="903"/>
    <w:link w:val="913"/>
    <w:rPr>
      <w:rFonts w:ascii="Tahoma" w:hAnsi="Tahoma" w:cs="Tahoma"/>
      <w:sz w:val="16"/>
      <w:szCs w:val="16"/>
    </w:rPr>
  </w:style>
  <w:style w:type="character" w:styleId="915" w:customStyle="1">
    <w:name w:val="Заголовок 1 Знак"/>
    <w:basedOn w:val="903"/>
    <w:link w:val="894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916" w:customStyle="1">
    <w:name w:val="Заголовок 2 Знак"/>
    <w:basedOn w:val="903"/>
    <w:link w:val="895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917" w:customStyle="1">
    <w:name w:val="Заголовок 3 Знак"/>
    <w:basedOn w:val="903"/>
    <w:link w:val="896"/>
    <w:rPr>
      <w:rFonts w:ascii="Arial" w:hAnsi="Arial" w:eastAsia="Times New Roman" w:cs="Arial"/>
      <w:b/>
      <w:bCs/>
      <w:szCs w:val="26"/>
      <w:lang w:val="en-GB"/>
    </w:rPr>
  </w:style>
  <w:style w:type="character" w:styleId="918" w:customStyle="1">
    <w:name w:val="Заголовок 4 Знак"/>
    <w:basedOn w:val="903"/>
    <w:link w:val="897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919" w:customStyle="1">
    <w:name w:val="Заголовок 5 Знак"/>
    <w:basedOn w:val="903"/>
    <w:link w:val="898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920" w:customStyle="1">
    <w:name w:val="Заголовок 6 Знак"/>
    <w:basedOn w:val="903"/>
    <w:link w:val="899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921" w:customStyle="1">
    <w:name w:val="Заголовок 7 Знак"/>
    <w:basedOn w:val="903"/>
    <w:link w:val="90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922" w:customStyle="1">
    <w:name w:val="Заголовок 8 Знак"/>
    <w:basedOn w:val="903"/>
    <w:link w:val="901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23" w:customStyle="1">
    <w:name w:val="Заголовок 9 Знак"/>
    <w:basedOn w:val="903"/>
    <w:link w:val="902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24">
    <w:name w:val="Hyperlink"/>
    <w:uiPriority w:val="99"/>
    <w:rPr>
      <w:color w:val="0000ff"/>
      <w:u w:val="single"/>
    </w:rPr>
  </w:style>
  <w:style w:type="table" w:styleId="925">
    <w:name w:val="Table Grid"/>
    <w:basedOn w:val="90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6">
    <w:name w:val="toc 1"/>
    <w:basedOn w:val="893"/>
    <w:next w:val="893"/>
    <w:uiPriority w:val="39"/>
    <w:qFormat/>
    <w:pPr>
      <w:spacing w:after="0" w:line="360" w:lineRule="auto"/>
      <w:tabs>
        <w:tab w:val="right" w:pos="9825" w:leader="dot"/>
      </w:tabs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927" w:customStyle="1">
    <w:name w:val="numbered list"/>
    <w:basedOn w:val="928"/>
  </w:style>
  <w:style w:type="paragraph" w:styleId="928" w:customStyle="1">
    <w:name w:val="bullet"/>
    <w:basedOn w:val="893"/>
    <w:pPr>
      <w:numPr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29">
    <w:name w:val="page number"/>
    <w:rPr>
      <w:rFonts w:ascii="Arial" w:hAnsi="Arial"/>
      <w:sz w:val="16"/>
    </w:rPr>
  </w:style>
  <w:style w:type="paragraph" w:styleId="930" w:customStyle="1">
    <w:name w:val="Doc subtitle1"/>
    <w:basedOn w:val="893"/>
    <w:link w:val="941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31" w:customStyle="1">
    <w:name w:val="Doc subtitle2"/>
    <w:basedOn w:val="893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932" w:customStyle="1">
    <w:name w:val="Doc title"/>
    <w:basedOn w:val="893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933">
    <w:name w:val="Body Text"/>
    <w:basedOn w:val="893"/>
    <w:link w:val="934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934" w:customStyle="1">
    <w:name w:val="Основной текст Знак"/>
    <w:basedOn w:val="903"/>
    <w:link w:val="933"/>
    <w:semiHidden/>
    <w:rPr>
      <w:rFonts w:ascii="Arial" w:hAnsi="Arial" w:eastAsia="Times New Roman" w:cs="Times New Roman"/>
      <w:sz w:val="24"/>
      <w:szCs w:val="20"/>
      <w:lang w:val="en-AU"/>
    </w:rPr>
  </w:style>
  <w:style w:type="paragraph" w:styleId="935">
    <w:name w:val="Body Text Indent 2"/>
    <w:basedOn w:val="893"/>
    <w:link w:val="936"/>
    <w:semiHidden/>
    <w:pPr>
      <w:ind w:left="720"/>
      <w:spacing w:after="0" w:line="360" w:lineRule="auto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936" w:customStyle="1">
    <w:name w:val="Основной текст с отступом 2 Знак"/>
    <w:basedOn w:val="903"/>
    <w:link w:val="935"/>
    <w:semiHidden/>
    <w:rPr>
      <w:rFonts w:ascii="Arial" w:hAnsi="Arial" w:eastAsia="Times New Roman" w:cs="Times New Roman"/>
      <w:sz w:val="24"/>
      <w:szCs w:val="20"/>
      <w:lang w:val="en-US"/>
    </w:rPr>
  </w:style>
  <w:style w:type="paragraph" w:styleId="937">
    <w:name w:val="Body Text 2"/>
    <w:basedOn w:val="893"/>
    <w:link w:val="938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938" w:customStyle="1">
    <w:name w:val="Основной текст 2 Знак"/>
    <w:basedOn w:val="903"/>
    <w:link w:val="937"/>
    <w:semiHidden/>
    <w:rPr>
      <w:rFonts w:ascii="Arial" w:hAnsi="Arial" w:eastAsia="Times New Roman" w:cs="Times New Roman"/>
      <w:spacing w:val="-3"/>
      <w:szCs w:val="20"/>
      <w:lang w:val="en-US"/>
    </w:rPr>
  </w:style>
  <w:style w:type="paragraph" w:styleId="939">
    <w:name w:val="Caption"/>
    <w:basedOn w:val="893"/>
    <w:next w:val="893"/>
    <w:qFormat/>
    <w:pPr>
      <w:jc w:val="center"/>
      <w:spacing w:before="240" w:after="0" w:line="360" w:lineRule="auto"/>
      <w:widowControl w:val="off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940" w:customStyle="1">
    <w:name w:val="Абзац списка1"/>
    <w:basedOn w:val="893"/>
    <w:pPr>
      <w:ind w:left="720"/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41" w:customStyle="1">
    <w:name w:val="Doc subtitle1 Char"/>
    <w:link w:val="930"/>
    <w:rPr>
      <w:rFonts w:ascii="Arial" w:hAnsi="Arial" w:eastAsia="Times New Roman" w:cs="Times New Roman"/>
      <w:b/>
      <w:sz w:val="28"/>
      <w:szCs w:val="24"/>
      <w:lang w:val="en-GB"/>
    </w:rPr>
  </w:style>
  <w:style w:type="paragraph" w:styleId="942">
    <w:name w:val="footnote text"/>
    <w:basedOn w:val="893"/>
    <w:link w:val="943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43" w:customStyle="1">
    <w:name w:val="Текст сноски Знак"/>
    <w:basedOn w:val="903"/>
    <w:link w:val="942"/>
    <w:rPr>
      <w:rFonts w:ascii="Times New Roman" w:hAnsi="Times New Roman" w:eastAsia="Times New Roman" w:cs="Times New Roman"/>
      <w:szCs w:val="20"/>
      <w:lang w:eastAsia="ru-RU"/>
    </w:rPr>
  </w:style>
  <w:style w:type="character" w:styleId="944">
    <w:name w:val="footnote reference"/>
    <w:rPr>
      <w:vertAlign w:val="superscript"/>
    </w:rPr>
  </w:style>
  <w:style w:type="character" w:styleId="945">
    <w:name w:val="FollowedHyperlink"/>
    <w:rPr>
      <w:color w:val="800080"/>
      <w:u w:val="single"/>
    </w:rPr>
  </w:style>
  <w:style w:type="paragraph" w:styleId="946" w:customStyle="1">
    <w:name w:val="цветной текст"/>
    <w:basedOn w:val="893"/>
    <w:qFormat/>
    <w:pPr>
      <w:numPr>
        <w:numId w:val="3"/>
      </w:numPr>
      <w:jc w:val="both"/>
      <w:spacing w:after="0" w:line="360" w:lineRule="auto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947" w:customStyle="1">
    <w:name w:val="538552DCBB0F4C4BB087ED922D6A6322"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paragraph" w:styleId="948" w:customStyle="1">
    <w:name w:val="выделение цвет"/>
    <w:basedOn w:val="893"/>
    <w:link w:val="961"/>
    <w:pPr>
      <w:jc w:val="both"/>
      <w:spacing w:after="0" w:line="360" w:lineRule="auto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49" w:customStyle="1">
    <w:name w:val="цвет в таблице"/>
    <w:rPr>
      <w:color w:val="2c8de6"/>
    </w:rPr>
  </w:style>
  <w:style w:type="paragraph" w:styleId="950">
    <w:name w:val="TOC Heading"/>
    <w:basedOn w:val="894"/>
    <w:next w:val="893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951">
    <w:name w:val="toc 2"/>
    <w:basedOn w:val="893"/>
    <w:next w:val="893"/>
    <w:uiPriority w:val="39"/>
    <w:qFormat/>
    <w:pPr>
      <w:jc w:val="both"/>
      <w:spacing w:after="0" w:line="360" w:lineRule="auto"/>
      <w:tabs>
        <w:tab w:val="left" w:pos="142" w:leader="none"/>
        <w:tab w:val="right" w:pos="9639" w:leader="dot"/>
      </w:tabs>
    </w:pPr>
    <w:rPr>
      <w:rFonts w:ascii="Times New Roman" w:hAnsi="Times New Roman" w:eastAsia="Times New Roman" w:cs="Times New Roman"/>
      <w:szCs w:val="20"/>
      <w:lang w:eastAsia="ru-RU"/>
    </w:rPr>
  </w:style>
  <w:style w:type="paragraph" w:styleId="952">
    <w:name w:val="toc 3"/>
    <w:basedOn w:val="893"/>
    <w:next w:val="893"/>
    <w:uiPriority w:val="39"/>
    <w:unhideWhenUsed/>
    <w:qFormat/>
    <w:pPr>
      <w:ind w:left="440"/>
      <w:spacing w:after="100" w:line="276" w:lineRule="auto"/>
    </w:pPr>
    <w:rPr>
      <w:rFonts w:ascii="Calibri" w:hAnsi="Calibri" w:eastAsia="Times New Roman" w:cs="Times New Roman"/>
      <w:lang w:eastAsia="ru-RU"/>
    </w:rPr>
  </w:style>
  <w:style w:type="paragraph" w:styleId="953" w:customStyle="1">
    <w:name w:val="!Заголовок-1"/>
    <w:basedOn w:val="894"/>
    <w:link w:val="955"/>
    <w:qFormat/>
    <w:rPr>
      <w:lang w:val="ru-RU"/>
    </w:rPr>
  </w:style>
  <w:style w:type="paragraph" w:styleId="954" w:customStyle="1">
    <w:name w:val="!заголовок-2"/>
    <w:basedOn w:val="895"/>
    <w:link w:val="957"/>
    <w:qFormat/>
    <w:rPr>
      <w:lang w:val="ru-RU"/>
    </w:rPr>
  </w:style>
  <w:style w:type="character" w:styleId="955" w:customStyle="1">
    <w:name w:val="!Заголовок-1 Знак"/>
    <w:link w:val="953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956" w:customStyle="1">
    <w:name w:val="!Текст"/>
    <w:basedOn w:val="893"/>
    <w:link w:val="959"/>
    <w:qFormat/>
    <w:p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57" w:customStyle="1">
    <w:name w:val="!заголовок-2 Знак"/>
    <w:link w:val="954"/>
    <w:rPr>
      <w:rFonts w:ascii="Arial" w:hAnsi="Arial" w:eastAsia="Times New Roman" w:cs="Times New Roman"/>
      <w:b/>
      <w:sz w:val="28"/>
      <w:szCs w:val="24"/>
    </w:rPr>
  </w:style>
  <w:style w:type="paragraph" w:styleId="958" w:customStyle="1">
    <w:name w:val="!Синий заголовок текста"/>
    <w:basedOn w:val="948"/>
    <w:link w:val="962"/>
    <w:qFormat/>
  </w:style>
  <w:style w:type="character" w:styleId="959" w:customStyle="1">
    <w:name w:val="!Текст Знак"/>
    <w:link w:val="956"/>
    <w:rPr>
      <w:rFonts w:ascii="Times New Roman" w:hAnsi="Times New Roman" w:eastAsia="Times New Roman" w:cs="Times New Roman"/>
      <w:szCs w:val="20"/>
      <w:lang w:eastAsia="ru-RU"/>
    </w:rPr>
  </w:style>
  <w:style w:type="paragraph" w:styleId="960" w:customStyle="1">
    <w:name w:val="!Список с точками"/>
    <w:basedOn w:val="893"/>
    <w:link w:val="964"/>
    <w:qFormat/>
    <w:pPr>
      <w:numPr>
        <w:numId w:val="2"/>
      </w:num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61" w:customStyle="1">
    <w:name w:val="выделение цвет Знак"/>
    <w:link w:val="94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62" w:customStyle="1">
    <w:name w:val="!Синий заголовок текста Знак"/>
    <w:link w:val="95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963">
    <w:name w:val="List Paragraph"/>
    <w:basedOn w:val="893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</w:rPr>
  </w:style>
  <w:style w:type="character" w:styleId="964" w:customStyle="1">
    <w:name w:val="!Список с точками Знак"/>
    <w:link w:val="960"/>
    <w:rPr>
      <w:rFonts w:ascii="Times New Roman" w:hAnsi="Times New Roman" w:eastAsia="Times New Roman" w:cs="Times New Roman"/>
      <w:szCs w:val="20"/>
      <w:lang w:eastAsia="ru-RU"/>
    </w:rPr>
  </w:style>
  <w:style w:type="paragraph" w:styleId="965" w:customStyle="1">
    <w:name w:val="Базовый"/>
    <w:pPr>
      <w:spacing w:after="200" w:line="276" w:lineRule="auto"/>
    </w:pPr>
    <w:rPr>
      <w:rFonts w:ascii="Times New Roman" w:hAnsi="Times New Roman" w:eastAsia="DejaVu Sans" w:cs="Times New Roman"/>
      <w:sz w:val="24"/>
      <w:szCs w:val="24"/>
    </w:rPr>
  </w:style>
  <w:style w:type="character" w:styleId="966" w:customStyle="1">
    <w:name w:val="Интернет-ссылка"/>
    <w:rPr>
      <w:color w:val="0000ff"/>
      <w:u w:val="single"/>
      <w:lang w:val="ru-RU" w:eastAsia="ru-RU" w:bidi="ru-RU"/>
    </w:rPr>
  </w:style>
  <w:style w:type="character" w:styleId="967">
    <w:name w:val="annotation reference"/>
    <w:basedOn w:val="903"/>
    <w:semiHidden/>
    <w:unhideWhenUsed/>
    <w:rPr>
      <w:sz w:val="16"/>
      <w:szCs w:val="16"/>
    </w:rPr>
  </w:style>
  <w:style w:type="paragraph" w:styleId="968">
    <w:name w:val="annotation text"/>
    <w:basedOn w:val="893"/>
    <w:link w:val="969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69" w:customStyle="1">
    <w:name w:val="Текст примечания Знак"/>
    <w:basedOn w:val="903"/>
    <w:link w:val="968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0">
    <w:name w:val="annotation subject"/>
    <w:basedOn w:val="968"/>
    <w:next w:val="968"/>
    <w:link w:val="971"/>
    <w:semiHidden/>
    <w:unhideWhenUsed/>
    <w:rPr>
      <w:b/>
      <w:bCs/>
    </w:rPr>
  </w:style>
  <w:style w:type="character" w:styleId="971" w:customStyle="1">
    <w:name w:val="Тема примечания Знак"/>
    <w:basedOn w:val="969"/>
    <w:link w:val="970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2" w:customStyle="1">
    <w:name w:val="Lista Black"/>
    <w:basedOn w:val="933"/>
    <w:uiPriority w:val="1"/>
    <w:qFormat/>
    <w:pPr>
      <w:numPr>
        <w:numId w:val="8"/>
      </w:numPr>
      <w:jc w:val="left"/>
      <w:keepNext/>
      <w:spacing w:after="120" w:line="240" w:lineRule="auto"/>
    </w:pPr>
    <w:rPr>
      <w:rFonts w:ascii="Calibri" w:hAnsi="Calibri" w:eastAsia="FrutigerLTStd-Light" w:cstheme="minorBidi"/>
      <w:sz w:val="20"/>
      <w:lang w:val="en-US"/>
    </w:rPr>
  </w:style>
  <w:style w:type="character" w:styleId="973" w:customStyle="1">
    <w:name w:val="Основной текст (14)_"/>
    <w:basedOn w:val="903"/>
    <w:link w:val="974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974" w:customStyle="1">
    <w:name w:val="Основной текст (14)_3"/>
    <w:basedOn w:val="893"/>
    <w:link w:val="973"/>
    <w:pPr>
      <w:ind w:hanging="600"/>
      <w:spacing w:after="0" w:line="264" w:lineRule="exact"/>
      <w:shd w:val="clear" w:color="auto" w:fill="ffffff"/>
      <w:widowControl w:val="off"/>
    </w:pPr>
    <w:rPr>
      <w:rFonts w:ascii="Segoe UI" w:hAnsi="Segoe UI" w:eastAsia="Segoe UI" w:cs="Segoe UI"/>
      <w:sz w:val="19"/>
      <w:szCs w:val="19"/>
    </w:rPr>
  </w:style>
  <w:style w:type="character" w:styleId="975" w:customStyle="1">
    <w:name w:val="Неразрешенное упоминание1"/>
    <w:basedOn w:val="903"/>
    <w:uiPriority w:val="99"/>
    <w:semiHidden/>
    <w:unhideWhenUsed/>
    <w:rPr>
      <w:color w:val="605e5c"/>
      <w:shd w:val="clear" w:color="auto" w:fill="e1dfdd"/>
    </w:rPr>
  </w:style>
  <w:style w:type="character" w:styleId="976" w:customStyle="1">
    <w:name w:val="Неразрешенное упоминание2"/>
    <w:basedOn w:val="903"/>
    <w:uiPriority w:val="99"/>
    <w:semiHidden/>
    <w:unhideWhenUsed/>
    <w:rPr>
      <w:color w:val="605e5c"/>
      <w:shd w:val="clear" w:color="auto" w:fill="e1dfdd"/>
    </w:rPr>
  </w:style>
  <w:style w:type="table" w:styleId="977" w:customStyle="1">
    <w:name w:val="Сетка таблицы1"/>
    <w:basedOn w:val="904"/>
    <w:next w:val="925"/>
    <w:uiPriority w:val="39"/>
    <w:pPr>
      <w:spacing w:after="0" w:line="240" w:lineRule="auto"/>
    </w:pPr>
    <w:rPr>
      <w:rFonts w:ascii="Calibri" w:hAnsi="Calibri" w:eastAsia="Calibri" w:cs="Calibri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78" w:customStyle="1">
    <w:name w:val="Lista Blue"/>
    <w:basedOn w:val="963"/>
    <w:uiPriority w:val="1"/>
    <w:qFormat/>
    <w:pPr>
      <w:numPr>
        <w:numId w:val="27"/>
      </w:numPr>
      <w:contextualSpacing w:val="0"/>
      <w:ind w:left="227" w:hanging="227"/>
      <w:spacing w:after="0" w:line="240" w:lineRule="auto"/>
      <w:widowControl w:val="off"/>
    </w:pPr>
    <w:rPr>
      <w:rFonts w:eastAsia="Cambria"/>
      <w:color w:val="61b5e4"/>
      <w:sz w:val="20"/>
      <w:lang w:val="en-US"/>
    </w:rPr>
  </w:style>
  <w:style w:type="table" w:styleId="979" w:customStyle="1">
    <w:name w:val="StGen1"/>
    <w:basedOn w:val="90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  <w:tblPr>
      <w:tblStyleRowBandSize w:val="1"/>
      <w:tblStyleColBandSize w:val="1"/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052AA-CCB9-4DC0-8740-2928AB7B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revision>8</cp:revision>
  <dcterms:created xsi:type="dcterms:W3CDTF">2023-02-13T04:46:00Z</dcterms:created>
  <dcterms:modified xsi:type="dcterms:W3CDTF">2023-03-07T10:19:43Z</dcterms:modified>
</cp:coreProperties>
</file>